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05" w:rsidRPr="008905B3" w:rsidRDefault="00CB286C" w:rsidP="00CD5B05">
      <w:pPr>
        <w:spacing w:after="0" w:line="240" w:lineRule="auto"/>
        <w:jc w:val="center"/>
        <w:rPr>
          <w:rFonts w:ascii="Times New Roman" w:hAnsi="Times New Roman"/>
          <w:b/>
          <w:sz w:val="20"/>
          <w:szCs w:val="20"/>
          <w:lang w:val="ru-RU"/>
        </w:rPr>
      </w:pPr>
      <w:r>
        <w:rPr>
          <w:rFonts w:ascii="Times New Roman" w:hAnsi="Times New Roman"/>
          <w:b/>
          <w:sz w:val="20"/>
          <w:szCs w:val="20"/>
          <w:lang w:val="ru-RU"/>
        </w:rPr>
        <w:t>ПРЕДСТАВЛЕНИЕ</w:t>
      </w:r>
      <w:r w:rsidR="00CD5B05" w:rsidRPr="008905B3">
        <w:rPr>
          <w:rFonts w:ascii="Times New Roman" w:hAnsi="Times New Roman"/>
          <w:b/>
          <w:sz w:val="20"/>
          <w:szCs w:val="20"/>
          <w:lang w:val="ru-RU"/>
        </w:rPr>
        <w:t xml:space="preserve"> </w:t>
      </w:r>
      <w:r w:rsidR="00787DC5">
        <w:rPr>
          <w:rFonts w:ascii="Times New Roman" w:hAnsi="Times New Roman"/>
          <w:b/>
          <w:sz w:val="20"/>
          <w:szCs w:val="20"/>
          <w:lang w:val="ru-RU"/>
        </w:rPr>
        <w:t>РЕЗИДЕНТОМ</w:t>
      </w:r>
      <w:r w:rsidR="000714BE">
        <w:rPr>
          <w:rFonts w:ascii="Times New Roman" w:hAnsi="Times New Roman"/>
          <w:b/>
          <w:sz w:val="20"/>
          <w:szCs w:val="20"/>
          <w:lang w:val="ru-RU"/>
        </w:rPr>
        <w:t xml:space="preserve"> ДОКУМЕНТОВ</w:t>
      </w:r>
      <w:r w:rsidR="00CD5B05" w:rsidRPr="008905B3">
        <w:rPr>
          <w:rFonts w:ascii="Times New Roman" w:hAnsi="Times New Roman"/>
          <w:b/>
          <w:sz w:val="20"/>
          <w:szCs w:val="20"/>
          <w:lang w:val="ru-RU"/>
        </w:rPr>
        <w:t xml:space="preserve"> И </w:t>
      </w:r>
      <w:proofErr w:type="gramStart"/>
      <w:r w:rsidR="00CD5B05" w:rsidRPr="008905B3">
        <w:rPr>
          <w:rFonts w:ascii="Times New Roman" w:hAnsi="Times New Roman"/>
          <w:b/>
          <w:sz w:val="20"/>
          <w:szCs w:val="20"/>
          <w:lang w:val="ru-RU"/>
        </w:rPr>
        <w:t>ИНФОРМАЦИИ</w:t>
      </w:r>
      <w:proofErr w:type="gramEnd"/>
      <w:r w:rsidR="00CD5B05" w:rsidRPr="008905B3">
        <w:rPr>
          <w:rFonts w:ascii="Times New Roman" w:hAnsi="Times New Roman"/>
          <w:b/>
          <w:sz w:val="20"/>
          <w:szCs w:val="20"/>
          <w:lang w:val="ru-RU"/>
        </w:rPr>
        <w:t xml:space="preserve"> </w:t>
      </w:r>
      <w:r w:rsidR="000714BE">
        <w:rPr>
          <w:rFonts w:ascii="Times New Roman" w:hAnsi="Times New Roman"/>
          <w:b/>
          <w:sz w:val="20"/>
          <w:szCs w:val="20"/>
          <w:lang w:val="ru-RU"/>
        </w:rPr>
        <w:t>СВЯЗАННЫХ С ПРОВЕДЕНИЕМ ОПЕРАЦИЙ</w:t>
      </w:r>
    </w:p>
    <w:p w:rsidR="00CD5B05" w:rsidRPr="003B7CF0" w:rsidRDefault="00CD5B05" w:rsidP="00CD5B05">
      <w:pPr>
        <w:spacing w:after="0" w:line="240" w:lineRule="auto"/>
        <w:jc w:val="center"/>
        <w:rPr>
          <w:rFonts w:ascii="Times New Roman" w:hAnsi="Times New Roman"/>
          <w:b/>
          <w:sz w:val="20"/>
          <w:szCs w:val="20"/>
          <w:lang w:val="ru-RU"/>
        </w:rPr>
      </w:pPr>
    </w:p>
    <w:p w:rsidR="00CD5B05" w:rsidRPr="004148C5" w:rsidRDefault="00CD5B05" w:rsidP="00CD5B05">
      <w:pPr>
        <w:pStyle w:val="a6"/>
        <w:numPr>
          <w:ilvl w:val="0"/>
          <w:numId w:val="3"/>
        </w:numPr>
        <w:spacing w:after="0" w:line="240" w:lineRule="auto"/>
        <w:jc w:val="center"/>
        <w:rPr>
          <w:rFonts w:ascii="Times New Roman" w:hAnsi="Times New Roman"/>
          <w:b/>
          <w:sz w:val="20"/>
          <w:szCs w:val="20"/>
        </w:rPr>
      </w:pPr>
      <w:r w:rsidRPr="004148C5">
        <w:rPr>
          <w:rFonts w:ascii="Times New Roman" w:hAnsi="Times New Roman"/>
          <w:b/>
          <w:sz w:val="20"/>
          <w:szCs w:val="20"/>
        </w:rPr>
        <w:t>Операции в иностранной валюте</w:t>
      </w:r>
    </w:p>
    <w:p w:rsidR="00CD5B05" w:rsidRPr="004148C5" w:rsidRDefault="00CD5B05" w:rsidP="00CD5B05">
      <w:pPr>
        <w:spacing w:after="0" w:line="240" w:lineRule="auto"/>
        <w:jc w:val="center"/>
        <w:rPr>
          <w:rFonts w:ascii="Times New Roman" w:hAnsi="Times New Roman"/>
          <w:b/>
          <w:sz w:val="20"/>
          <w:szCs w:val="20"/>
          <w:lang w:val="ru-RU"/>
        </w:rPr>
      </w:pPr>
    </w:p>
    <w:p w:rsidR="00CD5B05" w:rsidRPr="004148C5" w:rsidRDefault="00CD5B05" w:rsidP="00CD5B05">
      <w:pPr>
        <w:spacing w:after="0" w:line="240" w:lineRule="auto"/>
        <w:jc w:val="both"/>
        <w:rPr>
          <w:rFonts w:ascii="Times New Roman" w:hAnsi="Times New Roman"/>
          <w:sz w:val="20"/>
          <w:szCs w:val="20"/>
          <w:lang w:val="ru-RU"/>
        </w:rPr>
      </w:pPr>
      <w:r w:rsidRPr="004148C5">
        <w:rPr>
          <w:rFonts w:ascii="Times New Roman" w:hAnsi="Times New Roman"/>
          <w:b/>
          <w:sz w:val="20"/>
          <w:szCs w:val="20"/>
          <w:lang w:val="ru-RU"/>
        </w:rPr>
        <w:t>Клиент–резидент представляет следующие документы и информацию</w:t>
      </w:r>
      <w:r w:rsidRPr="004148C5">
        <w:rPr>
          <w:rFonts w:ascii="Times New Roman" w:hAnsi="Times New Roman"/>
          <w:sz w:val="20"/>
          <w:szCs w:val="20"/>
          <w:lang w:val="ru-RU"/>
        </w:rPr>
        <w:t>:</w:t>
      </w:r>
    </w:p>
    <w:p w:rsidR="00CD5B05" w:rsidRPr="004148C5" w:rsidRDefault="00CD5B05" w:rsidP="00CD5B05">
      <w:pPr>
        <w:spacing w:after="0" w:line="240" w:lineRule="auto"/>
        <w:jc w:val="both"/>
        <w:rPr>
          <w:rFonts w:ascii="Times New Roman" w:hAnsi="Times New Roman"/>
          <w:sz w:val="20"/>
          <w:szCs w:val="20"/>
          <w:lang w:val="ru-RU"/>
        </w:rPr>
      </w:pPr>
    </w:p>
    <w:p w:rsidR="00CD5B05" w:rsidRPr="00606A69" w:rsidRDefault="00CD5B05" w:rsidP="00CD5B05">
      <w:pPr>
        <w:spacing w:after="0" w:line="240" w:lineRule="auto"/>
        <w:jc w:val="both"/>
        <w:rPr>
          <w:rFonts w:ascii="Times New Roman" w:hAnsi="Times New Roman"/>
          <w:b/>
          <w:bCs/>
          <w:sz w:val="20"/>
          <w:szCs w:val="20"/>
          <w:lang w:val="ru-RU"/>
        </w:rPr>
      </w:pPr>
      <w:r w:rsidRPr="003B7CF0">
        <w:rPr>
          <w:rFonts w:ascii="Times New Roman" w:hAnsi="Times New Roman"/>
          <w:b/>
          <w:sz w:val="20"/>
          <w:szCs w:val="20"/>
          <w:lang w:val="ru-RU"/>
        </w:rPr>
        <w:t>а)</w:t>
      </w:r>
      <w:r w:rsidRPr="003B7CF0">
        <w:rPr>
          <w:rFonts w:ascii="Times New Roman" w:hAnsi="Times New Roman"/>
          <w:b/>
          <w:sz w:val="20"/>
          <w:szCs w:val="20"/>
          <w:lang w:val="ru-RU"/>
        </w:rPr>
        <w:tab/>
        <w:t xml:space="preserve">при </w:t>
      </w:r>
      <w:r w:rsidR="00606A69">
        <w:rPr>
          <w:rFonts w:ascii="Times New Roman" w:hAnsi="Times New Roman"/>
          <w:b/>
          <w:sz w:val="20"/>
          <w:szCs w:val="20"/>
          <w:u w:val="single"/>
          <w:lang w:val="ru-RU"/>
        </w:rPr>
        <w:t>зачислении</w:t>
      </w:r>
      <w:r w:rsidRPr="003B7CF0">
        <w:rPr>
          <w:rFonts w:ascii="Times New Roman" w:hAnsi="Times New Roman"/>
          <w:b/>
          <w:sz w:val="20"/>
          <w:szCs w:val="20"/>
          <w:lang w:val="ru-RU"/>
        </w:rPr>
        <w:t xml:space="preserve"> денежных средств на </w:t>
      </w:r>
      <w:r w:rsidR="00606A69">
        <w:rPr>
          <w:rFonts w:ascii="Times New Roman" w:hAnsi="Times New Roman"/>
          <w:b/>
          <w:sz w:val="20"/>
          <w:szCs w:val="20"/>
          <w:lang w:val="ru-RU"/>
        </w:rPr>
        <w:t>транзитный</w:t>
      </w:r>
      <w:r w:rsidRPr="003B7CF0">
        <w:rPr>
          <w:rFonts w:ascii="Times New Roman" w:hAnsi="Times New Roman"/>
          <w:b/>
          <w:sz w:val="20"/>
          <w:szCs w:val="20"/>
          <w:lang w:val="ru-RU"/>
        </w:rPr>
        <w:t xml:space="preserve"> валютный счет (</w:t>
      </w:r>
      <w:r w:rsidRPr="00606A69">
        <w:rPr>
          <w:rFonts w:ascii="Times New Roman" w:hAnsi="Times New Roman"/>
          <w:b/>
          <w:sz w:val="20"/>
          <w:szCs w:val="20"/>
          <w:lang w:val="ru-RU"/>
        </w:rPr>
        <w:t>не позднее 15 рабочих дней после даты зачисления):</w:t>
      </w:r>
    </w:p>
    <w:p w:rsidR="00CD5B05" w:rsidRPr="003B7CF0" w:rsidRDefault="00CD5B05" w:rsidP="00CD5B05">
      <w:pPr>
        <w:pStyle w:val="ListParagraph1"/>
        <w:numPr>
          <w:ilvl w:val="0"/>
          <w:numId w:val="1"/>
        </w:numPr>
        <w:tabs>
          <w:tab w:val="clear" w:pos="720"/>
          <w:tab w:val="num" w:pos="426"/>
        </w:tabs>
        <w:spacing w:after="0" w:line="240" w:lineRule="auto"/>
        <w:ind w:left="0" w:firstLine="0"/>
        <w:jc w:val="both"/>
        <w:rPr>
          <w:rFonts w:ascii="Times New Roman" w:hAnsi="Times New Roman"/>
          <w:sz w:val="20"/>
          <w:szCs w:val="20"/>
          <w:lang w:val="ru-RU"/>
        </w:rPr>
      </w:pPr>
      <w:r w:rsidRPr="003B7CF0">
        <w:rPr>
          <w:rFonts w:ascii="Times New Roman" w:hAnsi="Times New Roman"/>
          <w:sz w:val="20"/>
          <w:szCs w:val="20"/>
          <w:lang w:val="ru-RU"/>
        </w:rPr>
        <w:t>распоряжение  на перечисление  сре</w:t>
      </w:r>
      <w:proofErr w:type="gramStart"/>
      <w:r w:rsidRPr="003B7CF0">
        <w:rPr>
          <w:rFonts w:ascii="Times New Roman" w:hAnsi="Times New Roman"/>
          <w:sz w:val="20"/>
          <w:szCs w:val="20"/>
          <w:lang w:val="ru-RU"/>
        </w:rPr>
        <w:t>дств с тр</w:t>
      </w:r>
      <w:proofErr w:type="gramEnd"/>
      <w:r w:rsidRPr="003B7CF0">
        <w:rPr>
          <w:rFonts w:ascii="Times New Roman" w:hAnsi="Times New Roman"/>
          <w:sz w:val="20"/>
          <w:szCs w:val="20"/>
          <w:lang w:val="ru-RU"/>
        </w:rPr>
        <w:t>анзитного валютного счета;</w:t>
      </w:r>
    </w:p>
    <w:p w:rsidR="00CD5B05" w:rsidRPr="00606A69" w:rsidRDefault="00CD5B05" w:rsidP="00CD5B05">
      <w:pPr>
        <w:pStyle w:val="ListParagraph1"/>
        <w:numPr>
          <w:ilvl w:val="0"/>
          <w:numId w:val="1"/>
        </w:numPr>
        <w:tabs>
          <w:tab w:val="clear" w:pos="720"/>
          <w:tab w:val="num" w:pos="426"/>
        </w:tabs>
        <w:autoSpaceDE w:val="0"/>
        <w:autoSpaceDN w:val="0"/>
        <w:adjustRightInd w:val="0"/>
        <w:spacing w:after="0" w:line="240" w:lineRule="auto"/>
        <w:ind w:left="426" w:hanging="426"/>
        <w:jc w:val="both"/>
        <w:rPr>
          <w:rFonts w:ascii="Times New Roman" w:hAnsi="Times New Roman"/>
          <w:sz w:val="20"/>
          <w:szCs w:val="20"/>
          <w:lang w:val="ru-RU"/>
        </w:rPr>
      </w:pPr>
      <w:r w:rsidRPr="00606A69">
        <w:rPr>
          <w:rFonts w:ascii="Times New Roman" w:hAnsi="Times New Roman"/>
          <w:sz w:val="20"/>
          <w:szCs w:val="20"/>
          <w:lang w:val="ru-RU"/>
        </w:rPr>
        <w:t xml:space="preserve">копии документов, являющихся основанием для проведения операции </w:t>
      </w:r>
    </w:p>
    <w:p w:rsidR="00CD5B05" w:rsidRPr="003B7CF0" w:rsidRDefault="00CD5B05" w:rsidP="00CD5B05">
      <w:pPr>
        <w:pStyle w:val="a6"/>
        <w:numPr>
          <w:ilvl w:val="0"/>
          <w:numId w:val="1"/>
        </w:numPr>
        <w:tabs>
          <w:tab w:val="clear" w:pos="720"/>
          <w:tab w:val="num" w:pos="426"/>
        </w:tabs>
        <w:spacing w:after="0" w:line="240" w:lineRule="auto"/>
        <w:ind w:left="426" w:hanging="426"/>
        <w:rPr>
          <w:rFonts w:ascii="Times New Roman" w:eastAsia="Times New Roman" w:hAnsi="Times New Roman"/>
          <w:sz w:val="20"/>
          <w:szCs w:val="20"/>
        </w:rPr>
      </w:pPr>
      <w:r w:rsidRPr="00606A69">
        <w:rPr>
          <w:rFonts w:ascii="Times New Roman" w:eastAsia="Times New Roman" w:hAnsi="Times New Roman"/>
          <w:sz w:val="20"/>
          <w:szCs w:val="20"/>
        </w:rPr>
        <w:t>информацию об уникальном номере контракта (кредитного договора) - при поступлении денежных средств по контракту  (кредитному договору), поставленному на учет в Банке;</w:t>
      </w:r>
      <w:r w:rsidR="004148C5">
        <w:rPr>
          <w:rFonts w:ascii="Times New Roman" w:eastAsia="Times New Roman" w:hAnsi="Times New Roman"/>
          <w:sz w:val="20"/>
          <w:szCs w:val="20"/>
        </w:rPr>
        <w:t xml:space="preserve"> с указанием код</w:t>
      </w:r>
      <w:r w:rsidR="008905B3">
        <w:rPr>
          <w:rFonts w:ascii="Times New Roman" w:eastAsia="Times New Roman" w:hAnsi="Times New Roman"/>
          <w:sz w:val="20"/>
          <w:szCs w:val="20"/>
        </w:rPr>
        <w:t>а</w:t>
      </w:r>
      <w:r w:rsidR="004148C5">
        <w:rPr>
          <w:rFonts w:ascii="Times New Roman" w:eastAsia="Times New Roman" w:hAnsi="Times New Roman"/>
          <w:sz w:val="20"/>
          <w:szCs w:val="20"/>
        </w:rPr>
        <w:t xml:space="preserve"> </w:t>
      </w:r>
      <w:r w:rsidR="008905B3">
        <w:rPr>
          <w:rFonts w:ascii="Times New Roman" w:eastAsia="Times New Roman" w:hAnsi="Times New Roman"/>
          <w:sz w:val="20"/>
          <w:szCs w:val="20"/>
        </w:rPr>
        <w:t>вида</w:t>
      </w:r>
      <w:r w:rsidR="004148C5">
        <w:rPr>
          <w:rFonts w:ascii="Times New Roman" w:eastAsia="Times New Roman" w:hAnsi="Times New Roman"/>
          <w:sz w:val="20"/>
          <w:szCs w:val="20"/>
        </w:rPr>
        <w:t xml:space="preserve"> операции</w:t>
      </w:r>
    </w:p>
    <w:p w:rsidR="00CD5B05" w:rsidRPr="003B7CF0" w:rsidRDefault="00CD5B05" w:rsidP="00606A69">
      <w:pPr>
        <w:pStyle w:val="a6"/>
        <w:spacing w:after="0" w:line="240" w:lineRule="auto"/>
        <w:ind w:left="426"/>
        <w:rPr>
          <w:rFonts w:ascii="Times New Roman" w:eastAsia="Times New Roman" w:hAnsi="Times New Roman"/>
          <w:sz w:val="20"/>
          <w:szCs w:val="20"/>
        </w:rPr>
      </w:pPr>
    </w:p>
    <w:p w:rsidR="00CD5B05" w:rsidRPr="003B7CF0" w:rsidRDefault="00CD5B05" w:rsidP="00CD5B05">
      <w:pPr>
        <w:pStyle w:val="a6"/>
        <w:spacing w:after="0" w:line="240" w:lineRule="auto"/>
        <w:ind w:left="0"/>
        <w:rPr>
          <w:rFonts w:ascii="Times New Roman" w:eastAsia="Times New Roman" w:hAnsi="Times New Roman"/>
          <w:sz w:val="20"/>
          <w:szCs w:val="20"/>
        </w:rPr>
      </w:pPr>
    </w:p>
    <w:p w:rsidR="00CD5B05" w:rsidRPr="003B7CF0" w:rsidRDefault="00CD5B05" w:rsidP="00CD5B05">
      <w:pPr>
        <w:tabs>
          <w:tab w:val="left" w:pos="426"/>
        </w:tabs>
        <w:spacing w:after="0" w:line="240" w:lineRule="auto"/>
        <w:jc w:val="both"/>
        <w:rPr>
          <w:rFonts w:ascii="Times New Roman" w:hAnsi="Times New Roman"/>
          <w:b/>
          <w:sz w:val="20"/>
          <w:szCs w:val="20"/>
          <w:lang w:val="ru-RU"/>
        </w:rPr>
      </w:pPr>
      <w:r w:rsidRPr="003B7CF0">
        <w:rPr>
          <w:rFonts w:ascii="Times New Roman" w:hAnsi="Times New Roman"/>
          <w:b/>
          <w:sz w:val="20"/>
          <w:szCs w:val="20"/>
          <w:lang w:val="ru-RU"/>
        </w:rPr>
        <w:t>б)</w:t>
      </w:r>
      <w:r w:rsidRPr="003B7CF0">
        <w:rPr>
          <w:rFonts w:ascii="Times New Roman" w:hAnsi="Times New Roman"/>
          <w:b/>
          <w:sz w:val="20"/>
          <w:szCs w:val="20"/>
          <w:lang w:val="ru-RU"/>
        </w:rPr>
        <w:tab/>
        <w:t xml:space="preserve">при </w:t>
      </w:r>
      <w:r w:rsidR="00606A69">
        <w:rPr>
          <w:rFonts w:ascii="Times New Roman" w:hAnsi="Times New Roman"/>
          <w:b/>
          <w:sz w:val="20"/>
          <w:szCs w:val="20"/>
          <w:u w:val="single"/>
          <w:lang w:val="ru-RU"/>
        </w:rPr>
        <w:t>списании</w:t>
      </w:r>
      <w:r w:rsidRPr="003B7CF0">
        <w:rPr>
          <w:rFonts w:ascii="Times New Roman" w:hAnsi="Times New Roman"/>
          <w:b/>
          <w:sz w:val="20"/>
          <w:szCs w:val="20"/>
          <w:lang w:val="ru-RU"/>
        </w:rPr>
        <w:t xml:space="preserve"> денежных сре</w:t>
      </w:r>
      <w:proofErr w:type="gramStart"/>
      <w:r w:rsidRPr="003B7CF0">
        <w:rPr>
          <w:rFonts w:ascii="Times New Roman" w:hAnsi="Times New Roman"/>
          <w:b/>
          <w:sz w:val="20"/>
          <w:szCs w:val="20"/>
          <w:lang w:val="ru-RU"/>
        </w:rPr>
        <w:t xml:space="preserve">дств с </w:t>
      </w:r>
      <w:r w:rsidR="00606A69">
        <w:rPr>
          <w:rFonts w:ascii="Times New Roman" w:hAnsi="Times New Roman"/>
          <w:b/>
          <w:sz w:val="20"/>
          <w:szCs w:val="20"/>
          <w:lang w:val="ru-RU"/>
        </w:rPr>
        <w:t>р</w:t>
      </w:r>
      <w:proofErr w:type="gramEnd"/>
      <w:r w:rsidR="00606A69">
        <w:rPr>
          <w:rFonts w:ascii="Times New Roman" w:hAnsi="Times New Roman"/>
          <w:b/>
          <w:sz w:val="20"/>
          <w:szCs w:val="20"/>
          <w:lang w:val="ru-RU"/>
        </w:rPr>
        <w:t>асчетного</w:t>
      </w:r>
      <w:r w:rsidRPr="003B7CF0">
        <w:rPr>
          <w:rFonts w:ascii="Times New Roman" w:hAnsi="Times New Roman"/>
          <w:b/>
          <w:sz w:val="20"/>
          <w:szCs w:val="20"/>
          <w:lang w:val="ru-RU"/>
        </w:rPr>
        <w:t xml:space="preserve">  счета в иностранной валюте:</w:t>
      </w:r>
    </w:p>
    <w:p w:rsidR="00CD5B05" w:rsidRPr="003B7CF0" w:rsidRDefault="00CD5B05" w:rsidP="00CD5B05">
      <w:pPr>
        <w:pStyle w:val="ListParagraph1"/>
        <w:numPr>
          <w:ilvl w:val="0"/>
          <w:numId w:val="1"/>
        </w:numPr>
        <w:tabs>
          <w:tab w:val="left" w:pos="426"/>
        </w:tabs>
        <w:spacing w:after="0" w:line="240" w:lineRule="auto"/>
        <w:ind w:left="426" w:hanging="426"/>
        <w:jc w:val="both"/>
        <w:rPr>
          <w:rFonts w:ascii="Times New Roman" w:hAnsi="Times New Roman"/>
          <w:sz w:val="20"/>
          <w:szCs w:val="20"/>
          <w:lang w:val="ru-RU"/>
        </w:rPr>
      </w:pPr>
      <w:r w:rsidRPr="003B7CF0">
        <w:rPr>
          <w:rFonts w:ascii="Times New Roman" w:hAnsi="Times New Roman"/>
          <w:sz w:val="20"/>
          <w:szCs w:val="20"/>
          <w:lang w:val="ru-RU"/>
        </w:rPr>
        <w:t xml:space="preserve">заявление на перевод иностранной валюты с указанием в 70-м поле «Назначение платежа» </w:t>
      </w:r>
      <w:r w:rsidRPr="003B7CF0">
        <w:rPr>
          <w:rFonts w:ascii="Times New Roman" w:hAnsi="Times New Roman"/>
          <w:b/>
          <w:sz w:val="20"/>
          <w:szCs w:val="20"/>
          <w:lang w:val="ru-RU"/>
        </w:rPr>
        <w:t>экономического смысла проводимой операции,</w:t>
      </w:r>
      <w:r w:rsidRPr="003B7CF0">
        <w:rPr>
          <w:rFonts w:ascii="Times New Roman" w:hAnsi="Times New Roman"/>
          <w:sz w:val="20"/>
          <w:szCs w:val="20"/>
          <w:lang w:val="ru-RU"/>
        </w:rPr>
        <w:t xml:space="preserve"> например: «предоплата за </w:t>
      </w:r>
      <w:r w:rsidR="00606A69">
        <w:rPr>
          <w:rFonts w:ascii="Times New Roman" w:hAnsi="Times New Roman"/>
          <w:sz w:val="20"/>
          <w:szCs w:val="20"/>
          <w:lang w:val="ru-RU"/>
        </w:rPr>
        <w:t>автотранспортные услуги  по счету №1</w:t>
      </w:r>
      <w:r w:rsidRPr="003B7CF0">
        <w:rPr>
          <w:rFonts w:ascii="Times New Roman" w:hAnsi="Times New Roman"/>
          <w:sz w:val="20"/>
          <w:szCs w:val="20"/>
          <w:lang w:val="ru-RU"/>
        </w:rPr>
        <w:t xml:space="preserve"> от 18.01.201</w:t>
      </w:r>
      <w:r w:rsidR="00606A69" w:rsidRPr="00606A69">
        <w:rPr>
          <w:rFonts w:ascii="Times New Roman" w:hAnsi="Times New Roman"/>
          <w:sz w:val="20"/>
          <w:szCs w:val="20"/>
          <w:lang w:val="ru-RU"/>
        </w:rPr>
        <w:t>9</w:t>
      </w:r>
      <w:r w:rsidRPr="003B7CF0">
        <w:rPr>
          <w:rFonts w:ascii="Times New Roman" w:hAnsi="Times New Roman"/>
          <w:sz w:val="20"/>
          <w:szCs w:val="20"/>
          <w:lang w:val="ru-RU"/>
        </w:rPr>
        <w:t xml:space="preserve"> по договору №</w:t>
      </w:r>
      <w:r w:rsidR="00606A69" w:rsidRPr="00606A69">
        <w:rPr>
          <w:rFonts w:ascii="Times New Roman" w:hAnsi="Times New Roman"/>
          <w:sz w:val="20"/>
          <w:szCs w:val="20"/>
          <w:lang w:val="ru-RU"/>
        </w:rPr>
        <w:t xml:space="preserve"> 1</w:t>
      </w:r>
      <w:r w:rsidRPr="003B7CF0">
        <w:rPr>
          <w:rFonts w:ascii="Times New Roman" w:hAnsi="Times New Roman"/>
          <w:sz w:val="20"/>
          <w:szCs w:val="20"/>
          <w:lang w:val="ru-RU"/>
        </w:rPr>
        <w:t xml:space="preserve"> от 15.01.201</w:t>
      </w:r>
      <w:r w:rsidR="00606A69" w:rsidRPr="00606A69">
        <w:rPr>
          <w:rFonts w:ascii="Times New Roman" w:hAnsi="Times New Roman"/>
          <w:sz w:val="20"/>
          <w:szCs w:val="20"/>
          <w:lang w:val="ru-RU"/>
        </w:rPr>
        <w:t>9</w:t>
      </w:r>
      <w:r w:rsidRPr="003B7CF0">
        <w:rPr>
          <w:rFonts w:ascii="Times New Roman" w:hAnsi="Times New Roman"/>
          <w:sz w:val="20"/>
          <w:szCs w:val="20"/>
          <w:lang w:val="ru-RU"/>
        </w:rPr>
        <w:t>»;</w:t>
      </w:r>
    </w:p>
    <w:p w:rsidR="00CD5B05" w:rsidRPr="00606A69" w:rsidRDefault="00CD5B05" w:rsidP="00CD5B05">
      <w:pPr>
        <w:pStyle w:val="ListParagraph1"/>
        <w:numPr>
          <w:ilvl w:val="0"/>
          <w:numId w:val="1"/>
        </w:numPr>
        <w:tabs>
          <w:tab w:val="left" w:pos="426"/>
        </w:tabs>
        <w:spacing w:after="0" w:line="240" w:lineRule="auto"/>
        <w:ind w:left="426" w:hanging="426"/>
        <w:jc w:val="both"/>
        <w:rPr>
          <w:rFonts w:ascii="Times New Roman" w:hAnsi="Times New Roman"/>
          <w:sz w:val="20"/>
          <w:szCs w:val="20"/>
          <w:lang w:val="ru-RU"/>
        </w:rPr>
      </w:pPr>
      <w:r w:rsidRPr="00606A69">
        <w:rPr>
          <w:rFonts w:ascii="Times New Roman" w:hAnsi="Times New Roman"/>
          <w:sz w:val="20"/>
          <w:szCs w:val="20"/>
          <w:lang w:val="ru-RU"/>
        </w:rPr>
        <w:t xml:space="preserve">копии документов, являющихся основанием для проведения  операции </w:t>
      </w:r>
    </w:p>
    <w:p w:rsidR="008905B3" w:rsidRPr="003B7CF0" w:rsidRDefault="00CD5B05" w:rsidP="008905B3">
      <w:pPr>
        <w:pStyle w:val="a6"/>
        <w:numPr>
          <w:ilvl w:val="0"/>
          <w:numId w:val="1"/>
        </w:numPr>
        <w:tabs>
          <w:tab w:val="clear" w:pos="720"/>
          <w:tab w:val="num" w:pos="426"/>
        </w:tabs>
        <w:spacing w:after="0" w:line="240" w:lineRule="auto"/>
        <w:ind w:left="426" w:hanging="426"/>
        <w:rPr>
          <w:rFonts w:ascii="Times New Roman" w:eastAsia="Times New Roman" w:hAnsi="Times New Roman"/>
          <w:sz w:val="20"/>
          <w:szCs w:val="20"/>
        </w:rPr>
      </w:pPr>
      <w:r w:rsidRPr="00606A69">
        <w:rPr>
          <w:rFonts w:ascii="Times New Roman" w:eastAsia="Times New Roman" w:hAnsi="Times New Roman"/>
          <w:sz w:val="20"/>
          <w:szCs w:val="20"/>
        </w:rPr>
        <w:t>информацию об уникальном номере контракта (кредитного договора) по контракту  (кредитному договору), поставленному на учет в Банке;</w:t>
      </w:r>
      <w:r w:rsidR="004148C5">
        <w:rPr>
          <w:rFonts w:ascii="Times New Roman" w:eastAsia="Times New Roman" w:hAnsi="Times New Roman"/>
          <w:sz w:val="20"/>
          <w:szCs w:val="20"/>
        </w:rPr>
        <w:t xml:space="preserve"> </w:t>
      </w:r>
      <w:r w:rsidR="004148C5" w:rsidRPr="003B7CF0">
        <w:rPr>
          <w:rFonts w:ascii="Times New Roman" w:hAnsi="Times New Roman"/>
          <w:sz w:val="20"/>
          <w:szCs w:val="20"/>
        </w:rPr>
        <w:t>об  ожидаемом сроке репатриации денежных средств по контракту  (кредитному договору), при проведении авансовых платежей (коды видов операц</w:t>
      </w:r>
      <w:r w:rsidR="004148C5">
        <w:rPr>
          <w:rFonts w:ascii="Times New Roman" w:hAnsi="Times New Roman"/>
          <w:sz w:val="20"/>
          <w:szCs w:val="20"/>
        </w:rPr>
        <w:t xml:space="preserve">ий 11100, 21100, 23100, 23110), </w:t>
      </w:r>
      <w:r w:rsidR="004148C5">
        <w:rPr>
          <w:rFonts w:ascii="Times New Roman" w:eastAsia="Times New Roman" w:hAnsi="Times New Roman"/>
          <w:sz w:val="20"/>
          <w:szCs w:val="20"/>
        </w:rPr>
        <w:t xml:space="preserve">с указанием </w:t>
      </w:r>
      <w:r w:rsidR="008905B3">
        <w:rPr>
          <w:rFonts w:ascii="Times New Roman" w:eastAsia="Times New Roman" w:hAnsi="Times New Roman"/>
          <w:sz w:val="20"/>
          <w:szCs w:val="20"/>
        </w:rPr>
        <w:t>кода вида операции</w:t>
      </w:r>
    </w:p>
    <w:p w:rsidR="004148C5" w:rsidRPr="003B7CF0" w:rsidRDefault="004148C5" w:rsidP="008905B3">
      <w:pPr>
        <w:pStyle w:val="a6"/>
        <w:spacing w:after="0" w:line="240" w:lineRule="auto"/>
        <w:ind w:left="426"/>
        <w:rPr>
          <w:rFonts w:ascii="Times New Roman" w:eastAsia="Times New Roman" w:hAnsi="Times New Roman"/>
          <w:sz w:val="20"/>
          <w:szCs w:val="20"/>
        </w:rPr>
      </w:pPr>
    </w:p>
    <w:p w:rsidR="00CD5B05" w:rsidRPr="003B7CF0" w:rsidRDefault="00CD5B05" w:rsidP="00CD5B05">
      <w:pPr>
        <w:spacing w:after="0" w:line="240" w:lineRule="auto"/>
        <w:jc w:val="center"/>
        <w:rPr>
          <w:rFonts w:ascii="Times New Roman" w:hAnsi="Times New Roman"/>
          <w:b/>
          <w:sz w:val="20"/>
          <w:szCs w:val="20"/>
          <w:lang w:val="ru-RU"/>
        </w:rPr>
      </w:pPr>
    </w:p>
    <w:p w:rsidR="00CD5B05" w:rsidRPr="004148C5" w:rsidRDefault="00CD5B05" w:rsidP="00CD5B05">
      <w:pPr>
        <w:pStyle w:val="a6"/>
        <w:numPr>
          <w:ilvl w:val="0"/>
          <w:numId w:val="3"/>
        </w:numPr>
        <w:tabs>
          <w:tab w:val="left" w:pos="2977"/>
        </w:tabs>
        <w:spacing w:after="0" w:line="240" w:lineRule="auto"/>
        <w:jc w:val="center"/>
        <w:rPr>
          <w:rFonts w:ascii="Times New Roman" w:hAnsi="Times New Roman"/>
          <w:b/>
          <w:sz w:val="20"/>
          <w:szCs w:val="20"/>
        </w:rPr>
      </w:pPr>
      <w:r w:rsidRPr="004148C5">
        <w:rPr>
          <w:rFonts w:ascii="Times New Roman" w:hAnsi="Times New Roman"/>
          <w:b/>
          <w:sz w:val="20"/>
          <w:szCs w:val="20"/>
        </w:rPr>
        <w:t>Операции в валюте РФ</w:t>
      </w:r>
    </w:p>
    <w:p w:rsidR="00CD5B05" w:rsidRPr="004148C5" w:rsidRDefault="00CD5B05" w:rsidP="00CD5B05">
      <w:pPr>
        <w:spacing w:after="0" w:line="240" w:lineRule="auto"/>
        <w:jc w:val="center"/>
        <w:rPr>
          <w:rFonts w:ascii="Times New Roman" w:hAnsi="Times New Roman"/>
          <w:b/>
          <w:sz w:val="20"/>
          <w:szCs w:val="20"/>
          <w:lang w:val="ru-RU"/>
        </w:rPr>
      </w:pPr>
    </w:p>
    <w:p w:rsidR="00CD5B05" w:rsidRPr="003B7CF0" w:rsidRDefault="00CD5B05" w:rsidP="00CD5B05">
      <w:pPr>
        <w:autoSpaceDE w:val="0"/>
        <w:autoSpaceDN w:val="0"/>
        <w:adjustRightInd w:val="0"/>
        <w:spacing w:after="0" w:line="240" w:lineRule="auto"/>
        <w:jc w:val="both"/>
        <w:rPr>
          <w:rFonts w:ascii="Times New Roman" w:hAnsi="Times New Roman"/>
          <w:sz w:val="20"/>
          <w:szCs w:val="20"/>
          <w:lang w:val="ru-RU"/>
        </w:rPr>
      </w:pPr>
      <w:r w:rsidRPr="003B7CF0">
        <w:rPr>
          <w:rFonts w:ascii="Times New Roman" w:hAnsi="Times New Roman"/>
          <w:sz w:val="20"/>
          <w:szCs w:val="20"/>
          <w:lang w:val="ru-RU"/>
        </w:rPr>
        <w:t xml:space="preserve">При осуществлении </w:t>
      </w:r>
      <w:r w:rsidRPr="004148C5">
        <w:rPr>
          <w:rFonts w:ascii="Times New Roman" w:hAnsi="Times New Roman"/>
          <w:b/>
          <w:sz w:val="20"/>
          <w:szCs w:val="20"/>
          <w:lang w:val="ru-RU"/>
        </w:rPr>
        <w:t>операций в валюте РФ</w:t>
      </w:r>
      <w:r w:rsidRPr="003B7CF0">
        <w:rPr>
          <w:rFonts w:ascii="Times New Roman" w:hAnsi="Times New Roman"/>
          <w:sz w:val="20"/>
          <w:szCs w:val="20"/>
          <w:lang w:val="ru-RU"/>
        </w:rPr>
        <w:t xml:space="preserve"> резидент представляет в Банк следующие документы:</w:t>
      </w:r>
    </w:p>
    <w:p w:rsidR="00CD5B05" w:rsidRPr="003B7CF0" w:rsidRDefault="00CD5B05" w:rsidP="00CD5B05">
      <w:pPr>
        <w:autoSpaceDE w:val="0"/>
        <w:autoSpaceDN w:val="0"/>
        <w:adjustRightInd w:val="0"/>
        <w:spacing w:after="0" w:line="240" w:lineRule="auto"/>
        <w:jc w:val="both"/>
        <w:rPr>
          <w:rFonts w:ascii="Times New Roman" w:hAnsi="Times New Roman"/>
          <w:bCs/>
          <w:sz w:val="20"/>
          <w:szCs w:val="20"/>
          <w:lang w:val="ru-RU"/>
        </w:rPr>
      </w:pPr>
    </w:p>
    <w:p w:rsidR="00CD5B05" w:rsidRPr="004148C5" w:rsidRDefault="00CD5B05" w:rsidP="00CD5B05">
      <w:pPr>
        <w:tabs>
          <w:tab w:val="left" w:pos="426"/>
        </w:tabs>
        <w:spacing w:after="0" w:line="240" w:lineRule="auto"/>
        <w:jc w:val="both"/>
        <w:rPr>
          <w:rFonts w:ascii="Times New Roman" w:hAnsi="Times New Roman"/>
          <w:b/>
          <w:sz w:val="20"/>
          <w:szCs w:val="20"/>
          <w:lang w:val="ru-RU"/>
        </w:rPr>
      </w:pPr>
      <w:r w:rsidRPr="003B7CF0">
        <w:rPr>
          <w:rFonts w:ascii="Times New Roman" w:hAnsi="Times New Roman"/>
          <w:b/>
          <w:sz w:val="20"/>
          <w:szCs w:val="20"/>
          <w:lang w:val="ru-RU"/>
        </w:rPr>
        <w:t>а)</w:t>
      </w:r>
      <w:r w:rsidRPr="003B7CF0">
        <w:rPr>
          <w:rFonts w:ascii="Times New Roman" w:hAnsi="Times New Roman"/>
          <w:b/>
          <w:sz w:val="20"/>
          <w:szCs w:val="20"/>
          <w:lang w:val="ru-RU"/>
        </w:rPr>
        <w:tab/>
        <w:t xml:space="preserve">при </w:t>
      </w:r>
      <w:r w:rsidR="004148C5">
        <w:rPr>
          <w:rFonts w:ascii="Times New Roman" w:hAnsi="Times New Roman"/>
          <w:b/>
          <w:sz w:val="20"/>
          <w:szCs w:val="20"/>
          <w:lang w:val="ru-RU"/>
        </w:rPr>
        <w:t>зачислении</w:t>
      </w:r>
      <w:r w:rsidRPr="003B7CF0">
        <w:rPr>
          <w:rFonts w:ascii="Times New Roman" w:hAnsi="Times New Roman"/>
          <w:b/>
          <w:sz w:val="20"/>
          <w:szCs w:val="20"/>
          <w:lang w:val="ru-RU"/>
        </w:rPr>
        <w:t xml:space="preserve"> от нерезидента денежных средств на расчетный счет в валюте РФ -  </w:t>
      </w:r>
      <w:r w:rsidRPr="004148C5">
        <w:rPr>
          <w:rFonts w:ascii="Times New Roman" w:hAnsi="Times New Roman"/>
          <w:b/>
          <w:sz w:val="20"/>
          <w:szCs w:val="20"/>
          <w:lang w:val="ru-RU"/>
        </w:rPr>
        <w:t>в случае проведения валютной операции в рамках контракта (кредитного договора), поставленного на учет в Банке (не позднее 15 рабочих дней после даты зачисления средств):</w:t>
      </w:r>
    </w:p>
    <w:p w:rsidR="00CD5B05" w:rsidRPr="003B7CF0" w:rsidRDefault="00CD5B05" w:rsidP="00CD5B05">
      <w:pPr>
        <w:numPr>
          <w:ilvl w:val="0"/>
          <w:numId w:val="2"/>
        </w:numPr>
        <w:tabs>
          <w:tab w:val="clear" w:pos="360"/>
          <w:tab w:val="num" w:pos="426"/>
        </w:tabs>
        <w:autoSpaceDE w:val="0"/>
        <w:autoSpaceDN w:val="0"/>
        <w:adjustRightInd w:val="0"/>
        <w:spacing w:after="0" w:line="240" w:lineRule="auto"/>
        <w:ind w:left="426" w:hanging="426"/>
        <w:jc w:val="both"/>
        <w:rPr>
          <w:rFonts w:ascii="Times New Roman" w:hAnsi="Times New Roman"/>
          <w:sz w:val="20"/>
          <w:szCs w:val="20"/>
          <w:lang w:val="ru-RU"/>
        </w:rPr>
      </w:pPr>
      <w:r w:rsidRPr="003B7CF0">
        <w:rPr>
          <w:rFonts w:ascii="Times New Roman" w:hAnsi="Times New Roman"/>
          <w:sz w:val="20"/>
          <w:szCs w:val="20"/>
          <w:lang w:val="ru-RU"/>
        </w:rPr>
        <w:t>документы, св</w:t>
      </w:r>
      <w:r w:rsidR="004148C5">
        <w:rPr>
          <w:rFonts w:ascii="Times New Roman" w:hAnsi="Times New Roman"/>
          <w:sz w:val="20"/>
          <w:szCs w:val="20"/>
          <w:lang w:val="ru-RU"/>
        </w:rPr>
        <w:t>язанные с проведением  операций;</w:t>
      </w:r>
    </w:p>
    <w:p w:rsidR="00CD5B05" w:rsidRPr="003B7CF0" w:rsidRDefault="00CD5B05" w:rsidP="00CD5B05">
      <w:pPr>
        <w:numPr>
          <w:ilvl w:val="0"/>
          <w:numId w:val="2"/>
        </w:numPr>
        <w:tabs>
          <w:tab w:val="num" w:pos="426"/>
        </w:tabs>
        <w:spacing w:after="0" w:line="240" w:lineRule="auto"/>
        <w:ind w:left="426" w:hanging="426"/>
        <w:jc w:val="both"/>
        <w:rPr>
          <w:rFonts w:ascii="Times New Roman" w:hAnsi="Times New Roman"/>
          <w:b/>
          <w:sz w:val="20"/>
          <w:szCs w:val="20"/>
          <w:u w:val="single"/>
          <w:lang w:val="ru-RU"/>
        </w:rPr>
      </w:pPr>
      <w:r w:rsidRPr="003B7CF0">
        <w:rPr>
          <w:rFonts w:ascii="Times New Roman" w:hAnsi="Times New Roman"/>
          <w:sz w:val="20"/>
          <w:szCs w:val="20"/>
          <w:lang w:val="ru-RU"/>
        </w:rPr>
        <w:t xml:space="preserve"> информацию об уникальном номере контракт</w:t>
      </w:r>
      <w:proofErr w:type="gramStart"/>
      <w:r w:rsidRPr="003B7CF0">
        <w:rPr>
          <w:rFonts w:ascii="Times New Roman" w:hAnsi="Times New Roman"/>
          <w:sz w:val="20"/>
          <w:szCs w:val="20"/>
          <w:lang w:val="ru-RU"/>
        </w:rPr>
        <w:t>а(</w:t>
      </w:r>
      <w:proofErr w:type="gramEnd"/>
      <w:r w:rsidRPr="003B7CF0">
        <w:rPr>
          <w:rFonts w:ascii="Times New Roman" w:hAnsi="Times New Roman"/>
          <w:sz w:val="20"/>
          <w:szCs w:val="20"/>
          <w:lang w:val="ru-RU"/>
        </w:rPr>
        <w:t xml:space="preserve">кредитного договора). </w:t>
      </w:r>
    </w:p>
    <w:p w:rsidR="00CD5B05" w:rsidRPr="003B7CF0" w:rsidRDefault="00CD5B05" w:rsidP="00CD5B05">
      <w:pPr>
        <w:spacing w:after="0" w:line="240" w:lineRule="auto"/>
        <w:jc w:val="both"/>
        <w:rPr>
          <w:rFonts w:ascii="Times New Roman" w:hAnsi="Times New Roman"/>
          <w:sz w:val="20"/>
          <w:szCs w:val="20"/>
          <w:lang w:val="ru-RU"/>
        </w:rPr>
      </w:pPr>
    </w:p>
    <w:p w:rsidR="00CD5B05" w:rsidRPr="003B7CF0" w:rsidRDefault="00DA141B" w:rsidP="00CD5B05">
      <w:pPr>
        <w:spacing w:after="0" w:line="240" w:lineRule="auto"/>
        <w:jc w:val="both"/>
        <w:rPr>
          <w:rFonts w:ascii="Times New Roman" w:hAnsi="Times New Roman"/>
          <w:sz w:val="20"/>
          <w:szCs w:val="20"/>
          <w:lang w:val="ru-RU"/>
        </w:rPr>
      </w:pPr>
      <w:r w:rsidRPr="00DA141B">
        <w:rPr>
          <w:rFonts w:ascii="Times New Roman" w:hAnsi="Times New Roman"/>
          <w:b/>
          <w:color w:val="FF0000"/>
          <w:sz w:val="28"/>
          <w:szCs w:val="28"/>
          <w:lang w:val="ru-RU"/>
        </w:rPr>
        <w:t>!!!</w:t>
      </w:r>
      <w:r>
        <w:rPr>
          <w:rFonts w:ascii="Times New Roman" w:hAnsi="Times New Roman"/>
          <w:b/>
          <w:sz w:val="20"/>
          <w:szCs w:val="20"/>
          <w:lang w:val="ru-RU"/>
        </w:rPr>
        <w:t xml:space="preserve"> </w:t>
      </w:r>
      <w:r w:rsidR="00CD5B05" w:rsidRPr="003B7CF0">
        <w:rPr>
          <w:rFonts w:ascii="Times New Roman" w:hAnsi="Times New Roman"/>
          <w:sz w:val="20"/>
          <w:szCs w:val="20"/>
          <w:lang w:val="ru-RU"/>
        </w:rPr>
        <w:t>при несогласии с кодом вида операции, указанным нерезидентом, либо при  отсутствии кода вида операции в платежном документе резидент вправе предоставить Банку информацию о коде вида операции, соответствующем характеру операции (</w:t>
      </w:r>
      <w:proofErr w:type="gramStart"/>
      <w:r w:rsidR="00CD5B05" w:rsidRPr="003B7CF0">
        <w:rPr>
          <w:rFonts w:ascii="Times New Roman" w:hAnsi="Times New Roman"/>
          <w:sz w:val="20"/>
          <w:szCs w:val="20"/>
          <w:lang w:val="ru-RU"/>
        </w:rPr>
        <w:t>предоставив документы</w:t>
      </w:r>
      <w:proofErr w:type="gramEnd"/>
      <w:r w:rsidR="00CD5B05" w:rsidRPr="003B7CF0">
        <w:rPr>
          <w:rFonts w:ascii="Times New Roman" w:hAnsi="Times New Roman"/>
          <w:sz w:val="20"/>
          <w:szCs w:val="20"/>
          <w:lang w:val="ru-RU"/>
        </w:rPr>
        <w:t>, обосновывающие код).</w:t>
      </w:r>
    </w:p>
    <w:p w:rsidR="00CD5B05" w:rsidRPr="003B7CF0" w:rsidRDefault="00CD5B05" w:rsidP="00CD5B05">
      <w:pPr>
        <w:spacing w:after="0" w:line="240" w:lineRule="auto"/>
        <w:jc w:val="both"/>
        <w:rPr>
          <w:rFonts w:ascii="Times New Roman" w:hAnsi="Times New Roman"/>
          <w:b/>
          <w:sz w:val="20"/>
          <w:szCs w:val="20"/>
          <w:u w:val="single"/>
          <w:lang w:val="ru-RU"/>
        </w:rPr>
      </w:pPr>
    </w:p>
    <w:p w:rsidR="00CD5B05" w:rsidRPr="003B7CF0" w:rsidRDefault="00CD5B05" w:rsidP="00CD5B05">
      <w:pPr>
        <w:tabs>
          <w:tab w:val="left" w:pos="426"/>
        </w:tabs>
        <w:spacing w:after="0" w:line="240" w:lineRule="auto"/>
        <w:jc w:val="both"/>
        <w:rPr>
          <w:rFonts w:ascii="Times New Roman" w:hAnsi="Times New Roman"/>
          <w:b/>
          <w:sz w:val="20"/>
          <w:szCs w:val="20"/>
          <w:lang w:val="ru-RU"/>
        </w:rPr>
      </w:pPr>
      <w:r w:rsidRPr="003B7CF0">
        <w:rPr>
          <w:rFonts w:ascii="Times New Roman" w:hAnsi="Times New Roman"/>
          <w:b/>
          <w:sz w:val="20"/>
          <w:szCs w:val="20"/>
          <w:lang w:val="ru-RU"/>
        </w:rPr>
        <w:t>б)</w:t>
      </w:r>
      <w:r w:rsidRPr="003B7CF0">
        <w:rPr>
          <w:rFonts w:ascii="Times New Roman" w:hAnsi="Times New Roman"/>
          <w:b/>
          <w:sz w:val="20"/>
          <w:szCs w:val="20"/>
          <w:lang w:val="ru-RU"/>
        </w:rPr>
        <w:tab/>
        <w:t xml:space="preserve">при </w:t>
      </w:r>
      <w:r w:rsidR="004148C5">
        <w:rPr>
          <w:rFonts w:ascii="Times New Roman" w:hAnsi="Times New Roman"/>
          <w:b/>
          <w:sz w:val="20"/>
          <w:szCs w:val="20"/>
          <w:lang w:val="ru-RU"/>
        </w:rPr>
        <w:t>списании</w:t>
      </w:r>
      <w:r w:rsidRPr="003B7CF0">
        <w:rPr>
          <w:rFonts w:ascii="Times New Roman" w:hAnsi="Times New Roman"/>
          <w:b/>
          <w:sz w:val="20"/>
          <w:szCs w:val="20"/>
          <w:lang w:val="ru-RU"/>
        </w:rPr>
        <w:t xml:space="preserve"> в пользу нерезидента денежных сре</w:t>
      </w:r>
      <w:proofErr w:type="gramStart"/>
      <w:r w:rsidRPr="003B7CF0">
        <w:rPr>
          <w:rFonts w:ascii="Times New Roman" w:hAnsi="Times New Roman"/>
          <w:b/>
          <w:sz w:val="20"/>
          <w:szCs w:val="20"/>
          <w:lang w:val="ru-RU"/>
        </w:rPr>
        <w:t>дств с р</w:t>
      </w:r>
      <w:proofErr w:type="gramEnd"/>
      <w:r w:rsidRPr="003B7CF0">
        <w:rPr>
          <w:rFonts w:ascii="Times New Roman" w:hAnsi="Times New Roman"/>
          <w:b/>
          <w:sz w:val="20"/>
          <w:szCs w:val="20"/>
          <w:lang w:val="ru-RU"/>
        </w:rPr>
        <w:t>асчетного счета в валюте РФ:</w:t>
      </w:r>
    </w:p>
    <w:p w:rsidR="00CD5B05" w:rsidRPr="003B7CF0" w:rsidRDefault="00CD5B05" w:rsidP="00CD5B05">
      <w:pPr>
        <w:numPr>
          <w:ilvl w:val="0"/>
          <w:numId w:val="2"/>
        </w:numPr>
        <w:spacing w:after="0" w:line="240" w:lineRule="auto"/>
        <w:ind w:left="426" w:hanging="426"/>
        <w:jc w:val="both"/>
        <w:rPr>
          <w:rFonts w:ascii="Times New Roman" w:hAnsi="Times New Roman"/>
          <w:sz w:val="20"/>
          <w:szCs w:val="20"/>
          <w:lang w:val="ru-RU"/>
        </w:rPr>
      </w:pPr>
      <w:proofErr w:type="gramStart"/>
      <w:r w:rsidRPr="003B7CF0">
        <w:rPr>
          <w:rFonts w:ascii="Times New Roman" w:hAnsi="Times New Roman"/>
          <w:sz w:val="20"/>
          <w:szCs w:val="20"/>
          <w:lang w:val="ru-RU"/>
        </w:rPr>
        <w:t>расчетный документ по операции, оформленный с учетом требований Инструкции 181-И, с указанием в поле «Назначение платежа» кода вида  операции (например:</w:t>
      </w:r>
      <w:r w:rsidRPr="003B7CF0">
        <w:rPr>
          <w:rFonts w:ascii="Times New Roman" w:hAnsi="Times New Roman"/>
          <w:b/>
          <w:sz w:val="20"/>
          <w:szCs w:val="20"/>
          <w:lang w:val="ru-RU"/>
        </w:rPr>
        <w:t>{</w:t>
      </w:r>
      <w:r w:rsidRPr="003B7CF0">
        <w:rPr>
          <w:rFonts w:ascii="Times New Roman" w:hAnsi="Times New Roman"/>
          <w:b/>
          <w:sz w:val="20"/>
          <w:szCs w:val="20"/>
        </w:rPr>
        <w:t>VO</w:t>
      </w:r>
      <w:r w:rsidR="008905B3">
        <w:rPr>
          <w:rFonts w:ascii="Times New Roman" w:hAnsi="Times New Roman"/>
          <w:b/>
          <w:sz w:val="20"/>
          <w:szCs w:val="20"/>
          <w:lang w:val="ru-RU"/>
        </w:rPr>
        <w:t>21200</w:t>
      </w:r>
      <w:r w:rsidRPr="003B7CF0">
        <w:rPr>
          <w:rFonts w:ascii="Times New Roman" w:hAnsi="Times New Roman"/>
          <w:b/>
          <w:sz w:val="20"/>
          <w:szCs w:val="20"/>
          <w:lang w:val="ru-RU"/>
        </w:rPr>
        <w:t>}</w:t>
      </w:r>
      <w:r w:rsidRPr="003B7CF0">
        <w:rPr>
          <w:rFonts w:ascii="Times New Roman" w:hAnsi="Times New Roman"/>
          <w:sz w:val="20"/>
          <w:szCs w:val="20"/>
          <w:lang w:val="ru-RU"/>
        </w:rPr>
        <w:t xml:space="preserve">) - информация, заключенная в фигурные скобки, указывается без отступов и пробелов внутри скобок), а также  </w:t>
      </w:r>
      <w:r w:rsidRPr="003B7CF0">
        <w:rPr>
          <w:rFonts w:ascii="Times New Roman" w:hAnsi="Times New Roman"/>
          <w:b/>
          <w:sz w:val="20"/>
          <w:szCs w:val="20"/>
          <w:lang w:val="ru-RU"/>
        </w:rPr>
        <w:t>экономического смысла проводимой операции,</w:t>
      </w:r>
      <w:r w:rsidRPr="003B7CF0">
        <w:rPr>
          <w:rFonts w:ascii="Times New Roman" w:hAnsi="Times New Roman"/>
          <w:sz w:val="20"/>
          <w:szCs w:val="20"/>
          <w:lang w:val="ru-RU"/>
        </w:rPr>
        <w:t xml:space="preserve"> например: «оплата за </w:t>
      </w:r>
      <w:r w:rsidR="008905B3">
        <w:rPr>
          <w:rFonts w:ascii="Times New Roman" w:hAnsi="Times New Roman"/>
          <w:sz w:val="20"/>
          <w:szCs w:val="20"/>
          <w:lang w:val="ru-RU"/>
        </w:rPr>
        <w:t>автотранспортные услуги</w:t>
      </w:r>
      <w:r w:rsidRPr="003B7CF0">
        <w:rPr>
          <w:rFonts w:ascii="Times New Roman" w:hAnsi="Times New Roman"/>
          <w:sz w:val="20"/>
          <w:szCs w:val="20"/>
          <w:lang w:val="ru-RU"/>
        </w:rPr>
        <w:t xml:space="preserve">  по счету №1 от 18.01.201</w:t>
      </w:r>
      <w:r w:rsidR="008905B3">
        <w:rPr>
          <w:rFonts w:ascii="Times New Roman" w:hAnsi="Times New Roman"/>
          <w:sz w:val="20"/>
          <w:szCs w:val="20"/>
          <w:lang w:val="ru-RU"/>
        </w:rPr>
        <w:t>9</w:t>
      </w:r>
      <w:r w:rsidRPr="003B7CF0">
        <w:rPr>
          <w:rFonts w:ascii="Times New Roman" w:hAnsi="Times New Roman"/>
          <w:sz w:val="20"/>
          <w:szCs w:val="20"/>
          <w:lang w:val="ru-RU"/>
        </w:rPr>
        <w:t xml:space="preserve"> по договору №</w:t>
      </w:r>
      <w:r w:rsidR="008905B3">
        <w:rPr>
          <w:rFonts w:ascii="Times New Roman" w:hAnsi="Times New Roman"/>
          <w:sz w:val="20"/>
          <w:szCs w:val="20"/>
          <w:lang w:val="ru-RU"/>
        </w:rPr>
        <w:t>1</w:t>
      </w:r>
      <w:r w:rsidRPr="003B7CF0">
        <w:rPr>
          <w:rFonts w:ascii="Times New Roman" w:hAnsi="Times New Roman"/>
          <w:sz w:val="20"/>
          <w:szCs w:val="20"/>
          <w:lang w:val="ru-RU"/>
        </w:rPr>
        <w:t xml:space="preserve"> от 15.01.201</w:t>
      </w:r>
      <w:r w:rsidR="008905B3">
        <w:rPr>
          <w:rFonts w:ascii="Times New Roman" w:hAnsi="Times New Roman"/>
          <w:sz w:val="20"/>
          <w:szCs w:val="20"/>
          <w:lang w:val="ru-RU"/>
        </w:rPr>
        <w:t>9</w:t>
      </w:r>
      <w:r w:rsidRPr="003B7CF0">
        <w:rPr>
          <w:rFonts w:ascii="Times New Roman" w:hAnsi="Times New Roman"/>
          <w:sz w:val="20"/>
          <w:szCs w:val="20"/>
          <w:lang w:val="ru-RU"/>
        </w:rPr>
        <w:t>».</w:t>
      </w:r>
      <w:proofErr w:type="gramEnd"/>
      <w:r w:rsidRPr="003B7CF0">
        <w:rPr>
          <w:rFonts w:ascii="Times New Roman" w:hAnsi="Times New Roman"/>
          <w:sz w:val="20"/>
          <w:szCs w:val="20"/>
          <w:lang w:val="ru-RU"/>
        </w:rPr>
        <w:t xml:space="preserve"> Если необходимо осуществить оплату по нескольким кодам видов операций – на каждый код вида операции оформляется отдельное платежное поручение</w:t>
      </w:r>
    </w:p>
    <w:p w:rsidR="00CD5B05" w:rsidRPr="004148C5" w:rsidRDefault="00CD5B05" w:rsidP="00CD5B05">
      <w:pPr>
        <w:numPr>
          <w:ilvl w:val="0"/>
          <w:numId w:val="2"/>
        </w:numPr>
        <w:tabs>
          <w:tab w:val="clear" w:pos="360"/>
          <w:tab w:val="num" w:pos="426"/>
        </w:tabs>
        <w:spacing w:after="0" w:line="240" w:lineRule="auto"/>
        <w:ind w:left="426" w:hanging="426"/>
        <w:jc w:val="both"/>
        <w:rPr>
          <w:rFonts w:ascii="Times New Roman" w:hAnsi="Times New Roman"/>
          <w:sz w:val="20"/>
          <w:szCs w:val="20"/>
          <w:lang w:val="ru-RU"/>
        </w:rPr>
      </w:pPr>
      <w:r w:rsidRPr="004148C5">
        <w:rPr>
          <w:rFonts w:ascii="Times New Roman" w:hAnsi="Times New Roman"/>
          <w:sz w:val="20"/>
          <w:szCs w:val="20"/>
          <w:lang w:val="ru-RU"/>
        </w:rPr>
        <w:lastRenderedPageBreak/>
        <w:t xml:space="preserve">документы, связанные с проведением операции </w:t>
      </w:r>
    </w:p>
    <w:p w:rsidR="00CD5B05" w:rsidRPr="003B7CF0" w:rsidRDefault="00CD5B05" w:rsidP="00CD5B05">
      <w:pPr>
        <w:pStyle w:val="a6"/>
        <w:numPr>
          <w:ilvl w:val="0"/>
          <w:numId w:val="2"/>
        </w:numPr>
        <w:tabs>
          <w:tab w:val="clear" w:pos="360"/>
          <w:tab w:val="num" w:pos="426"/>
        </w:tabs>
        <w:spacing w:after="0" w:line="240" w:lineRule="auto"/>
        <w:ind w:left="426" w:hanging="426"/>
        <w:rPr>
          <w:rFonts w:ascii="Times New Roman" w:eastAsia="Times New Roman" w:hAnsi="Times New Roman"/>
          <w:sz w:val="20"/>
          <w:szCs w:val="20"/>
        </w:rPr>
      </w:pPr>
      <w:proofErr w:type="gramStart"/>
      <w:r w:rsidRPr="004148C5">
        <w:rPr>
          <w:rFonts w:ascii="Times New Roman" w:eastAsia="Times New Roman" w:hAnsi="Times New Roman"/>
          <w:sz w:val="20"/>
          <w:szCs w:val="20"/>
        </w:rPr>
        <w:t xml:space="preserve">информацию об уникальном номере контракта (кредитного договора) - </w:t>
      </w:r>
      <w:r w:rsidRPr="004148C5">
        <w:rPr>
          <w:rFonts w:ascii="Times New Roman" w:hAnsi="Times New Roman"/>
          <w:sz w:val="20"/>
          <w:szCs w:val="20"/>
        </w:rPr>
        <w:t>в случае проведения операции в рамках контракта (кредитного договора), поставленного на учет в Банк</w:t>
      </w:r>
      <w:r w:rsidRPr="004148C5">
        <w:rPr>
          <w:rFonts w:ascii="Times New Roman" w:eastAsia="Times New Roman" w:hAnsi="Times New Roman"/>
          <w:sz w:val="20"/>
          <w:szCs w:val="20"/>
        </w:rPr>
        <w:t>е;</w:t>
      </w:r>
      <w:r w:rsidR="004148C5">
        <w:rPr>
          <w:rFonts w:ascii="Times New Roman" w:eastAsia="Times New Roman" w:hAnsi="Times New Roman"/>
          <w:sz w:val="20"/>
          <w:szCs w:val="20"/>
        </w:rPr>
        <w:t xml:space="preserve"> </w:t>
      </w:r>
      <w:r w:rsidR="004148C5" w:rsidRPr="003B7CF0">
        <w:rPr>
          <w:rFonts w:ascii="Times New Roman" w:hAnsi="Times New Roman"/>
          <w:sz w:val="20"/>
          <w:szCs w:val="20"/>
        </w:rPr>
        <w:t>об  ожидаемом сроке репатриации денежных средств  по контракту  (кредитному договору при проведении авансового платежа (коды видов операций 11100, 21100, 23100, 23110).</w:t>
      </w:r>
      <w:proofErr w:type="gramEnd"/>
    </w:p>
    <w:p w:rsidR="004148C5" w:rsidRDefault="004148C5" w:rsidP="004148C5">
      <w:pPr>
        <w:pStyle w:val="a6"/>
        <w:spacing w:after="120" w:line="240" w:lineRule="auto"/>
        <w:jc w:val="both"/>
        <w:rPr>
          <w:rFonts w:ascii="Times New Roman" w:hAnsi="Times New Roman"/>
          <w:b/>
          <w:sz w:val="20"/>
          <w:szCs w:val="20"/>
          <w:u w:val="single"/>
        </w:rPr>
      </w:pPr>
    </w:p>
    <w:p w:rsidR="00CD5B05" w:rsidRPr="008905B3" w:rsidRDefault="00CD5B05" w:rsidP="004148C5">
      <w:pPr>
        <w:pStyle w:val="a6"/>
        <w:spacing w:after="120" w:line="240" w:lineRule="auto"/>
        <w:jc w:val="both"/>
        <w:rPr>
          <w:rFonts w:ascii="Times New Roman" w:hAnsi="Times New Roman"/>
          <w:b/>
          <w:sz w:val="20"/>
          <w:szCs w:val="20"/>
        </w:rPr>
      </w:pPr>
      <w:r w:rsidRPr="008905B3">
        <w:rPr>
          <w:rFonts w:ascii="Times New Roman" w:hAnsi="Times New Roman"/>
          <w:b/>
          <w:sz w:val="20"/>
          <w:szCs w:val="20"/>
        </w:rPr>
        <w:t>Особенности предоставления в Банк документов, являющихся основанием для проведения операции</w:t>
      </w:r>
    </w:p>
    <w:p w:rsidR="00CD5B05" w:rsidRPr="003B7CF0" w:rsidRDefault="00CD5B05" w:rsidP="00CD5B05">
      <w:pPr>
        <w:pStyle w:val="a6"/>
        <w:spacing w:after="120" w:line="240" w:lineRule="auto"/>
        <w:jc w:val="both"/>
        <w:rPr>
          <w:rFonts w:ascii="Times New Roman" w:hAnsi="Times New Roman"/>
          <w:b/>
          <w:sz w:val="20"/>
          <w:szCs w:val="20"/>
          <w:u w:val="single"/>
        </w:rPr>
      </w:pPr>
    </w:p>
    <w:p w:rsidR="00CD5B05" w:rsidRPr="003B7CF0" w:rsidRDefault="00CD5B05" w:rsidP="00CD5B05">
      <w:pPr>
        <w:pStyle w:val="a6"/>
        <w:numPr>
          <w:ilvl w:val="0"/>
          <w:numId w:val="8"/>
        </w:numPr>
        <w:spacing w:after="120" w:line="240" w:lineRule="auto"/>
        <w:ind w:left="425" w:hanging="357"/>
        <w:jc w:val="both"/>
        <w:rPr>
          <w:rFonts w:ascii="Times New Roman" w:hAnsi="Times New Roman"/>
          <w:sz w:val="20"/>
          <w:szCs w:val="20"/>
        </w:rPr>
      </w:pPr>
      <w:r w:rsidRPr="003B7CF0">
        <w:rPr>
          <w:rFonts w:ascii="Times New Roman" w:hAnsi="Times New Roman"/>
          <w:sz w:val="20"/>
          <w:szCs w:val="20"/>
        </w:rPr>
        <w:t>Документы, являющиеся  основанием для проведения операции по списанию денежных средств со счета, должны быть указаны  в поле «Назначение платежа» расчетного документа и представлены в Банк.</w:t>
      </w:r>
    </w:p>
    <w:p w:rsidR="00CD5B05" w:rsidRPr="003B7CF0" w:rsidRDefault="00CD5B05" w:rsidP="00CD5B05">
      <w:pPr>
        <w:pStyle w:val="a6"/>
        <w:numPr>
          <w:ilvl w:val="0"/>
          <w:numId w:val="8"/>
        </w:numPr>
        <w:spacing w:after="120" w:line="240" w:lineRule="auto"/>
        <w:ind w:left="425" w:hanging="357"/>
        <w:jc w:val="both"/>
        <w:rPr>
          <w:rFonts w:ascii="Times New Roman" w:hAnsi="Times New Roman"/>
          <w:b/>
          <w:sz w:val="20"/>
          <w:szCs w:val="20"/>
          <w:u w:val="single"/>
        </w:rPr>
      </w:pPr>
      <w:r w:rsidRPr="003B7CF0">
        <w:rPr>
          <w:rFonts w:ascii="Times New Roman" w:hAnsi="Times New Roman"/>
          <w:sz w:val="20"/>
          <w:szCs w:val="20"/>
        </w:rPr>
        <w:t>В случае если документ-основание был представлен при проведении предыдущей операции либо при постановке контракта (кредитного договора) на учет - повторное представление документа не требуется.</w:t>
      </w:r>
    </w:p>
    <w:p w:rsidR="00CD5B05" w:rsidRPr="003B7CF0" w:rsidRDefault="00CD5B05" w:rsidP="00CD5B05">
      <w:pPr>
        <w:pStyle w:val="a6"/>
        <w:numPr>
          <w:ilvl w:val="0"/>
          <w:numId w:val="8"/>
        </w:numPr>
        <w:spacing w:before="120" w:after="120" w:line="240" w:lineRule="auto"/>
        <w:ind w:left="425" w:hanging="357"/>
        <w:jc w:val="both"/>
        <w:rPr>
          <w:rFonts w:ascii="Times New Roman" w:hAnsi="Times New Roman"/>
          <w:sz w:val="20"/>
          <w:szCs w:val="20"/>
        </w:rPr>
      </w:pPr>
      <w:r w:rsidRPr="003B7CF0">
        <w:rPr>
          <w:rFonts w:ascii="Times New Roman" w:hAnsi="Times New Roman"/>
          <w:sz w:val="20"/>
          <w:szCs w:val="20"/>
        </w:rPr>
        <w:t>При осуществлении операции в качестве предоплаты по контракту предоставляется счет (инвойс) на предоплату, с указанием номера и даты контракта, в рамках которого осуществляется предоплата – в случае если условиями контракта предусмотрена оплата против инвойса.</w:t>
      </w:r>
    </w:p>
    <w:p w:rsidR="00CD5B05" w:rsidRPr="003B7CF0" w:rsidRDefault="00CD5B05" w:rsidP="00CD5B05">
      <w:pPr>
        <w:pStyle w:val="a6"/>
        <w:numPr>
          <w:ilvl w:val="0"/>
          <w:numId w:val="8"/>
        </w:numPr>
        <w:spacing w:before="120" w:after="120" w:line="240" w:lineRule="auto"/>
        <w:ind w:left="425" w:hanging="357"/>
        <w:jc w:val="both"/>
        <w:rPr>
          <w:rFonts w:ascii="Times New Roman" w:hAnsi="Times New Roman"/>
          <w:sz w:val="20"/>
          <w:szCs w:val="20"/>
        </w:rPr>
      </w:pPr>
      <w:r w:rsidRPr="003B7CF0">
        <w:rPr>
          <w:rFonts w:ascii="Times New Roman" w:hAnsi="Times New Roman"/>
          <w:sz w:val="20"/>
          <w:szCs w:val="20"/>
        </w:rPr>
        <w:t>При осуществлении операций без заключения контракта с иностранным контрагентом представляется  документ, являющийся основанием для осуществления операции</w:t>
      </w:r>
      <w:r w:rsidR="008905B3">
        <w:rPr>
          <w:rFonts w:ascii="Times New Roman" w:hAnsi="Times New Roman"/>
          <w:sz w:val="20"/>
          <w:szCs w:val="20"/>
        </w:rPr>
        <w:t>.</w:t>
      </w:r>
      <w:r w:rsidRPr="003B7CF0">
        <w:rPr>
          <w:rFonts w:ascii="Times New Roman" w:hAnsi="Times New Roman"/>
          <w:sz w:val="20"/>
          <w:szCs w:val="20"/>
        </w:rPr>
        <w:t xml:space="preserve"> </w:t>
      </w:r>
    </w:p>
    <w:p w:rsidR="00CD5B05" w:rsidRPr="003B7CF0" w:rsidRDefault="00CD5B05" w:rsidP="00CD5B05">
      <w:pPr>
        <w:pStyle w:val="a6"/>
        <w:numPr>
          <w:ilvl w:val="0"/>
          <w:numId w:val="8"/>
        </w:numPr>
        <w:autoSpaceDE w:val="0"/>
        <w:autoSpaceDN w:val="0"/>
        <w:adjustRightInd w:val="0"/>
        <w:spacing w:before="120" w:after="120" w:line="240" w:lineRule="auto"/>
        <w:ind w:left="425" w:hanging="357"/>
        <w:jc w:val="both"/>
        <w:rPr>
          <w:rFonts w:ascii="Times New Roman" w:hAnsi="Times New Roman"/>
          <w:sz w:val="20"/>
          <w:szCs w:val="20"/>
        </w:rPr>
      </w:pPr>
      <w:proofErr w:type="gramStart"/>
      <w:r w:rsidRPr="003B7CF0">
        <w:rPr>
          <w:rFonts w:ascii="Times New Roman" w:hAnsi="Times New Roman"/>
          <w:sz w:val="20"/>
          <w:szCs w:val="20"/>
        </w:rPr>
        <w:t>При осуществлении первой операции по перечислению средств н</w:t>
      </w:r>
      <w:bookmarkStart w:id="0" w:name="_GoBack"/>
      <w:bookmarkEnd w:id="0"/>
      <w:r w:rsidRPr="003B7CF0">
        <w:rPr>
          <w:rFonts w:ascii="Times New Roman" w:hAnsi="Times New Roman"/>
          <w:sz w:val="20"/>
          <w:szCs w:val="20"/>
        </w:rPr>
        <w:t xml:space="preserve">а свой счет, открытый в банке-нерезиденте, резидент – юридическое лицо  одновременно с расчетным документом (платежным поручением, заявлением на перевод) должен представить  копию Уведомления налогового органа об открытии счета </w:t>
      </w:r>
      <w:r w:rsidRPr="003B7CF0">
        <w:rPr>
          <w:rFonts w:ascii="Times New Roman" w:eastAsiaTheme="minorHAnsi" w:hAnsi="Times New Roman"/>
          <w:sz w:val="20"/>
          <w:szCs w:val="20"/>
        </w:rPr>
        <w:t>в банке, расположенном за пределами территории Российской Федерации,</w:t>
      </w:r>
      <w:r w:rsidRPr="003B7CF0">
        <w:rPr>
          <w:rFonts w:ascii="Times New Roman" w:hAnsi="Times New Roman"/>
          <w:sz w:val="20"/>
          <w:szCs w:val="20"/>
        </w:rPr>
        <w:t xml:space="preserve"> с отметкой налогового органа о его принятии (статья 12 Федерального  Закона от 10.12.2003 № 173-ФЗ «О валютном регулировании и</w:t>
      </w:r>
      <w:proofErr w:type="gramEnd"/>
      <w:r w:rsidRPr="003B7CF0">
        <w:rPr>
          <w:rFonts w:ascii="Times New Roman" w:hAnsi="Times New Roman"/>
          <w:sz w:val="20"/>
          <w:szCs w:val="20"/>
        </w:rPr>
        <w:t xml:space="preserve"> валютном </w:t>
      </w:r>
      <w:proofErr w:type="gramStart"/>
      <w:r w:rsidRPr="003B7CF0">
        <w:rPr>
          <w:rFonts w:ascii="Times New Roman" w:hAnsi="Times New Roman"/>
          <w:sz w:val="20"/>
          <w:szCs w:val="20"/>
        </w:rPr>
        <w:t>контроле</w:t>
      </w:r>
      <w:proofErr w:type="gramEnd"/>
      <w:r w:rsidRPr="003B7CF0">
        <w:rPr>
          <w:rFonts w:ascii="Times New Roman" w:hAnsi="Times New Roman"/>
          <w:sz w:val="20"/>
          <w:szCs w:val="20"/>
        </w:rPr>
        <w:t xml:space="preserve">»). </w:t>
      </w:r>
    </w:p>
    <w:p w:rsidR="008905B3" w:rsidRDefault="00CD5B05" w:rsidP="00CD5B05">
      <w:pPr>
        <w:pStyle w:val="a6"/>
        <w:numPr>
          <w:ilvl w:val="0"/>
          <w:numId w:val="8"/>
        </w:numPr>
        <w:autoSpaceDE w:val="0"/>
        <w:autoSpaceDN w:val="0"/>
        <w:adjustRightInd w:val="0"/>
        <w:spacing w:before="120" w:after="120" w:line="240" w:lineRule="auto"/>
        <w:ind w:left="425" w:hanging="357"/>
        <w:jc w:val="both"/>
        <w:rPr>
          <w:rFonts w:ascii="Times New Roman" w:hAnsi="Times New Roman"/>
          <w:sz w:val="20"/>
          <w:szCs w:val="20"/>
        </w:rPr>
      </w:pPr>
      <w:r w:rsidRPr="008905B3">
        <w:rPr>
          <w:rFonts w:ascii="Times New Roman" w:hAnsi="Times New Roman"/>
          <w:sz w:val="20"/>
          <w:szCs w:val="20"/>
        </w:rPr>
        <w:t xml:space="preserve">При осуществлении операции по контракту, сумма которого не определена сторонами, следует проверить, не превысила ли сумма платежей (с учетом ранее осуществленных) пороговых значений, установленных для постановки контракта (кредитного договора) на учет (3 млн. руб. в эквиваленте для импортного контракта и кредитного договора, 6 млн. рублей в эквиваленте для экспортного контракта). </w:t>
      </w:r>
      <w:r w:rsidRPr="008905B3">
        <w:rPr>
          <w:rFonts w:ascii="Times New Roman" w:hAnsi="Times New Roman"/>
          <w:b/>
          <w:sz w:val="20"/>
          <w:szCs w:val="20"/>
        </w:rPr>
        <w:t>Если в результате  проведения текущей операции пороговое значение будет превышено – необходимо не позднее даты проведения операции поставить контракт (кредитный договор) на учет</w:t>
      </w:r>
      <w:r w:rsidRPr="008905B3">
        <w:rPr>
          <w:rFonts w:ascii="Times New Roman" w:hAnsi="Times New Roman"/>
          <w:sz w:val="20"/>
          <w:szCs w:val="20"/>
        </w:rPr>
        <w:t xml:space="preserve"> </w:t>
      </w:r>
    </w:p>
    <w:p w:rsidR="00CD5B05" w:rsidRPr="003B7CF0" w:rsidRDefault="00CD5B05" w:rsidP="00CD5B05">
      <w:pPr>
        <w:numPr>
          <w:ilvl w:val="0"/>
          <w:numId w:val="2"/>
        </w:numPr>
        <w:tabs>
          <w:tab w:val="clear" w:pos="360"/>
          <w:tab w:val="num" w:pos="426"/>
        </w:tabs>
        <w:spacing w:before="120" w:after="0" w:line="240" w:lineRule="auto"/>
        <w:ind w:left="426" w:hanging="284"/>
        <w:jc w:val="both"/>
        <w:rPr>
          <w:rFonts w:ascii="Times New Roman" w:hAnsi="Times New Roman"/>
          <w:sz w:val="20"/>
          <w:szCs w:val="20"/>
          <w:lang w:val="ru-RU"/>
        </w:rPr>
      </w:pPr>
      <w:r w:rsidRPr="003B7CF0">
        <w:rPr>
          <w:rFonts w:ascii="Times New Roman" w:hAnsi="Times New Roman"/>
          <w:sz w:val="20"/>
          <w:szCs w:val="20"/>
          <w:lang w:val="ru-RU"/>
        </w:rPr>
        <w:t>При осуществлении перевода в валюте РФ за пределы территории РФ в расчетном документе необходимо указывать адрес плательщика в графе «Плательщик», после наименования плательщика</w:t>
      </w:r>
      <w:proofErr w:type="gramStart"/>
      <w:r w:rsidRPr="003B7CF0">
        <w:rPr>
          <w:rFonts w:ascii="Times New Roman" w:hAnsi="Times New Roman"/>
          <w:sz w:val="20"/>
          <w:szCs w:val="20"/>
          <w:lang w:val="ru-RU"/>
        </w:rPr>
        <w:t>.</w:t>
      </w:r>
      <w:proofErr w:type="gramEnd"/>
      <w:r w:rsidRPr="003B7CF0">
        <w:rPr>
          <w:rFonts w:ascii="Times New Roman" w:hAnsi="Times New Roman"/>
          <w:sz w:val="20"/>
          <w:szCs w:val="20"/>
          <w:lang w:val="ru-RU"/>
        </w:rPr>
        <w:t xml:space="preserve"> (</w:t>
      </w:r>
      <w:proofErr w:type="gramStart"/>
      <w:r w:rsidRPr="003B7CF0">
        <w:rPr>
          <w:rFonts w:ascii="Times New Roman" w:hAnsi="Times New Roman"/>
          <w:sz w:val="20"/>
          <w:szCs w:val="20"/>
          <w:lang w:val="ru-RU"/>
        </w:rPr>
        <w:t>н</w:t>
      </w:r>
      <w:proofErr w:type="gramEnd"/>
      <w:r w:rsidRPr="003B7CF0">
        <w:rPr>
          <w:rFonts w:ascii="Times New Roman" w:hAnsi="Times New Roman"/>
          <w:sz w:val="20"/>
          <w:szCs w:val="20"/>
          <w:lang w:val="ru-RU"/>
        </w:rPr>
        <w:t>апример: ООО «</w:t>
      </w:r>
      <w:r w:rsidR="00936543">
        <w:rPr>
          <w:rFonts w:ascii="Times New Roman" w:hAnsi="Times New Roman"/>
          <w:sz w:val="20"/>
          <w:szCs w:val="20"/>
          <w:lang w:val="ru-RU"/>
        </w:rPr>
        <w:t>АГАТ</w:t>
      </w:r>
      <w:r w:rsidRPr="003B7CF0">
        <w:rPr>
          <w:rFonts w:ascii="Times New Roman" w:hAnsi="Times New Roman"/>
          <w:sz w:val="20"/>
          <w:szCs w:val="20"/>
          <w:lang w:val="ru-RU"/>
        </w:rPr>
        <w:t>» //</w:t>
      </w:r>
      <w:r w:rsidR="00936543">
        <w:rPr>
          <w:rFonts w:ascii="Times New Roman" w:hAnsi="Times New Roman"/>
          <w:sz w:val="20"/>
          <w:szCs w:val="20"/>
          <w:lang w:val="ru-RU"/>
        </w:rPr>
        <w:t>423423</w:t>
      </w:r>
      <w:r w:rsidRPr="003B7CF0">
        <w:rPr>
          <w:rFonts w:ascii="Times New Roman" w:hAnsi="Times New Roman"/>
          <w:sz w:val="20"/>
          <w:szCs w:val="20"/>
          <w:lang w:val="ru-RU"/>
        </w:rPr>
        <w:t xml:space="preserve">, </w:t>
      </w:r>
      <w:r w:rsidR="00936543">
        <w:rPr>
          <w:rFonts w:ascii="Times New Roman" w:hAnsi="Times New Roman"/>
          <w:sz w:val="20"/>
          <w:szCs w:val="20"/>
          <w:lang w:val="ru-RU"/>
        </w:rPr>
        <w:t>Республика Татарстан</w:t>
      </w:r>
      <w:r w:rsidRPr="003B7CF0">
        <w:rPr>
          <w:rFonts w:ascii="Times New Roman" w:hAnsi="Times New Roman"/>
          <w:sz w:val="20"/>
          <w:szCs w:val="20"/>
          <w:lang w:val="ru-RU"/>
        </w:rPr>
        <w:t xml:space="preserve">, </w:t>
      </w:r>
      <w:proofErr w:type="spellStart"/>
      <w:r w:rsidRPr="003B7CF0">
        <w:rPr>
          <w:rFonts w:ascii="Times New Roman" w:hAnsi="Times New Roman"/>
          <w:sz w:val="20"/>
          <w:szCs w:val="20"/>
          <w:lang w:val="ru-RU"/>
        </w:rPr>
        <w:t>г</w:t>
      </w:r>
      <w:proofErr w:type="gramStart"/>
      <w:r w:rsidRPr="003B7CF0">
        <w:rPr>
          <w:rFonts w:ascii="Times New Roman" w:hAnsi="Times New Roman"/>
          <w:sz w:val="20"/>
          <w:szCs w:val="20"/>
          <w:lang w:val="ru-RU"/>
        </w:rPr>
        <w:t>.</w:t>
      </w:r>
      <w:r w:rsidR="00936543">
        <w:rPr>
          <w:rFonts w:ascii="Times New Roman" w:hAnsi="Times New Roman"/>
          <w:sz w:val="20"/>
          <w:szCs w:val="20"/>
          <w:lang w:val="ru-RU"/>
        </w:rPr>
        <w:t>Н</w:t>
      </w:r>
      <w:proofErr w:type="gramEnd"/>
      <w:r w:rsidR="00936543">
        <w:rPr>
          <w:rFonts w:ascii="Times New Roman" w:hAnsi="Times New Roman"/>
          <w:sz w:val="20"/>
          <w:szCs w:val="20"/>
          <w:lang w:val="ru-RU"/>
        </w:rPr>
        <w:t>абережные</w:t>
      </w:r>
      <w:proofErr w:type="spellEnd"/>
      <w:r w:rsidR="00936543">
        <w:rPr>
          <w:rFonts w:ascii="Times New Roman" w:hAnsi="Times New Roman"/>
          <w:sz w:val="20"/>
          <w:szCs w:val="20"/>
          <w:lang w:val="ru-RU"/>
        </w:rPr>
        <w:t xml:space="preserve"> Челны</w:t>
      </w:r>
      <w:r w:rsidRPr="003B7CF0">
        <w:rPr>
          <w:rFonts w:ascii="Times New Roman" w:hAnsi="Times New Roman"/>
          <w:sz w:val="20"/>
          <w:szCs w:val="20"/>
          <w:lang w:val="ru-RU"/>
        </w:rPr>
        <w:t xml:space="preserve">, ул. </w:t>
      </w:r>
      <w:r w:rsidR="00936543">
        <w:rPr>
          <w:rFonts w:ascii="Times New Roman" w:hAnsi="Times New Roman"/>
          <w:sz w:val="20"/>
          <w:szCs w:val="20"/>
          <w:lang w:val="ru-RU"/>
        </w:rPr>
        <w:t>Беляева</w:t>
      </w:r>
      <w:r w:rsidRPr="003B7CF0">
        <w:rPr>
          <w:rFonts w:ascii="Times New Roman" w:hAnsi="Times New Roman"/>
          <w:sz w:val="20"/>
          <w:szCs w:val="20"/>
          <w:lang w:val="ru-RU"/>
        </w:rPr>
        <w:t>, д.6//)</w:t>
      </w:r>
    </w:p>
    <w:p w:rsidR="00CD5B05" w:rsidRPr="003B7CF0" w:rsidRDefault="00CD5B05" w:rsidP="00CD5B05">
      <w:pPr>
        <w:pStyle w:val="ListParagraph1"/>
        <w:spacing w:after="120" w:line="240" w:lineRule="auto"/>
        <w:ind w:left="0"/>
        <w:jc w:val="both"/>
        <w:rPr>
          <w:rFonts w:ascii="Times New Roman" w:hAnsi="Times New Roman"/>
          <w:sz w:val="20"/>
          <w:szCs w:val="20"/>
          <w:lang w:val="ru-RU"/>
        </w:rPr>
      </w:pPr>
    </w:p>
    <w:p w:rsidR="00CD5B05" w:rsidRPr="003B7CF0" w:rsidRDefault="00DA141B" w:rsidP="00CD5B05">
      <w:pPr>
        <w:spacing w:before="120" w:after="0" w:line="240" w:lineRule="auto"/>
        <w:jc w:val="both"/>
        <w:rPr>
          <w:rFonts w:ascii="Times New Roman" w:hAnsi="Times New Roman"/>
          <w:b/>
          <w:sz w:val="20"/>
          <w:szCs w:val="20"/>
          <w:lang w:val="ru-RU"/>
        </w:rPr>
      </w:pPr>
      <w:r w:rsidRPr="00DA141B">
        <w:rPr>
          <w:rFonts w:ascii="Times New Roman" w:hAnsi="Times New Roman"/>
          <w:b/>
          <w:color w:val="FF0000"/>
          <w:sz w:val="28"/>
          <w:szCs w:val="28"/>
          <w:lang w:val="ru-RU"/>
        </w:rPr>
        <w:t>!!!</w:t>
      </w:r>
      <w:r w:rsidR="00CD5B05" w:rsidRPr="003B7CF0">
        <w:rPr>
          <w:rFonts w:ascii="Times New Roman" w:hAnsi="Times New Roman"/>
          <w:b/>
          <w:sz w:val="20"/>
          <w:szCs w:val="20"/>
          <w:lang w:val="ru-RU"/>
        </w:rPr>
        <w:t xml:space="preserve"> При предоставлении документов и информации  просим учитывать операционное время, установленное Банком для проведения операций.</w:t>
      </w:r>
      <w:r w:rsidR="00CD5B05" w:rsidRPr="003B7CF0">
        <w:rPr>
          <w:rFonts w:ascii="Times New Roman" w:hAnsi="Times New Roman"/>
          <w:b/>
          <w:bCs/>
          <w:color w:val="000000"/>
          <w:sz w:val="20"/>
          <w:szCs w:val="20"/>
          <w:lang w:val="ru-RU"/>
        </w:rPr>
        <w:t xml:space="preserve"> Для возможности совершения операции текущим рабочим днем</w:t>
      </w:r>
      <w:r w:rsidR="00CD5B05" w:rsidRPr="003B7CF0">
        <w:rPr>
          <w:rFonts w:ascii="Times New Roman" w:hAnsi="Times New Roman"/>
          <w:b/>
          <w:sz w:val="20"/>
          <w:szCs w:val="20"/>
          <w:lang w:val="ru-RU"/>
        </w:rPr>
        <w:t xml:space="preserve">  рекомендуем п</w:t>
      </w:r>
      <w:r w:rsidR="00CD5B05" w:rsidRPr="003B7CF0">
        <w:rPr>
          <w:rFonts w:ascii="Times New Roman" w:hAnsi="Times New Roman"/>
          <w:b/>
          <w:bCs/>
          <w:color w:val="000000"/>
          <w:sz w:val="20"/>
          <w:szCs w:val="20"/>
          <w:lang w:val="ru-RU"/>
        </w:rPr>
        <w:t xml:space="preserve">редставлять документы и информацию для целей валютного контроля не позднее 16.00 текущего рабочего дня (при отсутствии иных временных ограничений операционного обслуживания, например, при проведении платежей в отдельных видах иностранных валют). </w:t>
      </w:r>
    </w:p>
    <w:p w:rsidR="00CD5B05" w:rsidRPr="003B7CF0" w:rsidRDefault="00CD5B05" w:rsidP="00CD5B05">
      <w:pPr>
        <w:spacing w:before="120" w:after="0" w:line="240" w:lineRule="auto"/>
        <w:jc w:val="both"/>
        <w:rPr>
          <w:rFonts w:ascii="Times New Roman" w:hAnsi="Times New Roman"/>
          <w:b/>
          <w:sz w:val="20"/>
          <w:szCs w:val="20"/>
          <w:lang w:val="ru-RU"/>
        </w:rPr>
      </w:pPr>
    </w:p>
    <w:p w:rsidR="00CD5B05" w:rsidRPr="00936543" w:rsidRDefault="00CD5B05" w:rsidP="00D65D22">
      <w:pPr>
        <w:pStyle w:val="a6"/>
        <w:numPr>
          <w:ilvl w:val="0"/>
          <w:numId w:val="3"/>
        </w:numPr>
        <w:spacing w:after="120" w:line="240" w:lineRule="auto"/>
        <w:jc w:val="center"/>
        <w:rPr>
          <w:rFonts w:ascii="Times New Roman" w:hAnsi="Times New Roman"/>
          <w:sz w:val="20"/>
          <w:szCs w:val="20"/>
        </w:rPr>
      </w:pPr>
      <w:r w:rsidRPr="00936543">
        <w:rPr>
          <w:rFonts w:ascii="Times New Roman" w:hAnsi="Times New Roman"/>
          <w:b/>
          <w:sz w:val="20"/>
          <w:szCs w:val="20"/>
        </w:rPr>
        <w:t xml:space="preserve">Информация и документы в Банк </w:t>
      </w:r>
      <w:r w:rsidRPr="00936543">
        <w:rPr>
          <w:rFonts w:ascii="Times New Roman" w:hAnsi="Times New Roman"/>
          <w:b/>
          <w:sz w:val="24"/>
          <w:szCs w:val="24"/>
        </w:rPr>
        <w:t>не представляются</w:t>
      </w:r>
      <w:r w:rsidRPr="00936543">
        <w:rPr>
          <w:rFonts w:ascii="Times New Roman" w:hAnsi="Times New Roman"/>
          <w:b/>
          <w:sz w:val="20"/>
          <w:szCs w:val="20"/>
        </w:rPr>
        <w:t>:</w:t>
      </w:r>
    </w:p>
    <w:p w:rsidR="00CD5B05" w:rsidRPr="003B7CF0" w:rsidRDefault="00CD5B05" w:rsidP="00D65D22">
      <w:pPr>
        <w:pStyle w:val="a6"/>
        <w:spacing w:after="120" w:line="240" w:lineRule="auto"/>
        <w:jc w:val="center"/>
        <w:rPr>
          <w:rFonts w:ascii="Times New Roman" w:hAnsi="Times New Roman"/>
          <w:sz w:val="20"/>
          <w:szCs w:val="20"/>
        </w:rPr>
      </w:pPr>
    </w:p>
    <w:p w:rsidR="00CD5B05" w:rsidRPr="003B7CF0" w:rsidRDefault="00CD5B05" w:rsidP="00CD5B05">
      <w:pPr>
        <w:pStyle w:val="a6"/>
        <w:numPr>
          <w:ilvl w:val="0"/>
          <w:numId w:val="7"/>
        </w:numPr>
        <w:spacing w:after="120" w:line="240" w:lineRule="auto"/>
        <w:ind w:left="426" w:hanging="426"/>
        <w:rPr>
          <w:rFonts w:ascii="Times New Roman" w:hAnsi="Times New Roman"/>
          <w:sz w:val="20"/>
          <w:szCs w:val="20"/>
        </w:rPr>
      </w:pPr>
      <w:r w:rsidRPr="003B7CF0">
        <w:rPr>
          <w:rFonts w:ascii="Times New Roman" w:hAnsi="Times New Roman"/>
          <w:sz w:val="20"/>
          <w:szCs w:val="20"/>
        </w:rPr>
        <w:t>При проведении операции в рамках обосновывающего документа</w:t>
      </w:r>
      <w:r w:rsidRPr="003B7CF0">
        <w:rPr>
          <w:rFonts w:ascii="Times New Roman" w:hAnsi="Times New Roman"/>
          <w:sz w:val="20"/>
          <w:szCs w:val="20"/>
          <w:lang w:eastAsia="ru-RU"/>
        </w:rPr>
        <w:t>, сумма которого равна или не превышает в эквиваленте 200 тыс. рублей. И</w:t>
      </w:r>
      <w:r w:rsidRPr="003B7CF0">
        <w:rPr>
          <w:rFonts w:ascii="Times New Roman" w:hAnsi="Times New Roman"/>
          <w:sz w:val="20"/>
          <w:szCs w:val="20"/>
        </w:rPr>
        <w:t>нформация об отсутствии необходимости представления документов может быть указана либо в отдельном письме, либо  в качестве дополнительного комментария в форме «Сведения о валютной операции».</w:t>
      </w:r>
    </w:p>
    <w:p w:rsidR="00CD5B05" w:rsidRPr="003B7CF0" w:rsidRDefault="00936543" w:rsidP="00CD5B05">
      <w:pPr>
        <w:pStyle w:val="a6"/>
        <w:spacing w:after="120" w:line="240" w:lineRule="auto"/>
        <w:ind w:left="426"/>
        <w:rPr>
          <w:rFonts w:ascii="Times New Roman" w:hAnsi="Times New Roman"/>
          <w:sz w:val="20"/>
          <w:szCs w:val="20"/>
          <w:u w:val="single"/>
          <w:lang w:eastAsia="ru-RU"/>
        </w:rPr>
      </w:pPr>
      <w:r>
        <w:rPr>
          <w:rFonts w:ascii="Times New Roman" w:hAnsi="Times New Roman"/>
          <w:sz w:val="20"/>
          <w:szCs w:val="20"/>
          <w:u w:val="single"/>
          <w:lang w:eastAsia="ru-RU"/>
        </w:rPr>
        <w:t>И</w:t>
      </w:r>
      <w:r w:rsidR="00CD5B05" w:rsidRPr="003B7CF0">
        <w:rPr>
          <w:rFonts w:ascii="Times New Roman" w:hAnsi="Times New Roman"/>
          <w:sz w:val="20"/>
          <w:szCs w:val="20"/>
          <w:u w:val="single"/>
          <w:lang w:eastAsia="ru-RU"/>
        </w:rPr>
        <w:t>нформация о коде вида операции в этом случае предоставляется!</w:t>
      </w:r>
    </w:p>
    <w:p w:rsidR="00CD5B05" w:rsidRPr="003B7CF0" w:rsidRDefault="00CD5B05" w:rsidP="00CD5B05">
      <w:pPr>
        <w:pStyle w:val="a6"/>
        <w:spacing w:after="120" w:line="240" w:lineRule="auto"/>
        <w:ind w:left="426"/>
        <w:rPr>
          <w:rFonts w:ascii="Times New Roman" w:hAnsi="Times New Roman"/>
          <w:sz w:val="20"/>
          <w:szCs w:val="20"/>
        </w:rPr>
      </w:pPr>
    </w:p>
    <w:p w:rsidR="00CD5B05" w:rsidRDefault="00CD5B05" w:rsidP="00CD5B05">
      <w:pPr>
        <w:pStyle w:val="a6"/>
        <w:numPr>
          <w:ilvl w:val="0"/>
          <w:numId w:val="7"/>
        </w:numPr>
        <w:spacing w:after="120" w:line="240" w:lineRule="auto"/>
        <w:ind w:left="426" w:hanging="426"/>
        <w:jc w:val="both"/>
        <w:rPr>
          <w:rFonts w:ascii="Times New Roman" w:hAnsi="Times New Roman"/>
          <w:sz w:val="20"/>
          <w:szCs w:val="20"/>
        </w:rPr>
      </w:pPr>
      <w:r w:rsidRPr="003B7CF0">
        <w:rPr>
          <w:rFonts w:ascii="Times New Roman" w:hAnsi="Times New Roman"/>
          <w:sz w:val="20"/>
          <w:szCs w:val="20"/>
        </w:rPr>
        <w:t xml:space="preserve">При проведении следующих видов операций в соответствии с Инструкцией 181-И:  </w:t>
      </w:r>
    </w:p>
    <w:p w:rsidR="00D65D22" w:rsidRDefault="00D65D22" w:rsidP="00D65D22">
      <w:pPr>
        <w:pStyle w:val="a6"/>
        <w:spacing w:after="120"/>
        <w:ind w:left="0"/>
        <w:jc w:val="both"/>
        <w:rPr>
          <w:rFonts w:ascii="Times New Roman" w:hAnsi="Times New Roman"/>
          <w:sz w:val="20"/>
          <w:szCs w:val="20"/>
        </w:rPr>
      </w:pPr>
      <w:r>
        <w:rPr>
          <w:rFonts w:ascii="Times New Roman" w:hAnsi="Times New Roman"/>
          <w:sz w:val="20"/>
          <w:szCs w:val="20"/>
        </w:rPr>
        <w:sym w:font="Wingdings" w:char="F0FC"/>
      </w:r>
      <w:r>
        <w:rPr>
          <w:rFonts w:ascii="Times New Roman" w:hAnsi="Times New Roman"/>
          <w:sz w:val="20"/>
          <w:szCs w:val="20"/>
        </w:rPr>
        <w:t xml:space="preserve">  </w:t>
      </w:r>
      <w:r w:rsidRPr="003B7CF0">
        <w:rPr>
          <w:rFonts w:ascii="Times New Roman" w:hAnsi="Times New Roman"/>
          <w:sz w:val="20"/>
          <w:szCs w:val="20"/>
        </w:rPr>
        <w:t>Взыскание в соответствии с законодательством РФ</w:t>
      </w:r>
      <w:r>
        <w:rPr>
          <w:rFonts w:ascii="Times New Roman" w:hAnsi="Times New Roman"/>
          <w:sz w:val="20"/>
          <w:szCs w:val="20"/>
        </w:rPr>
        <w:t xml:space="preserve">; </w:t>
      </w:r>
    </w:p>
    <w:p w:rsidR="00D65D22" w:rsidRDefault="00D65D22" w:rsidP="00D65D22">
      <w:pPr>
        <w:pStyle w:val="a6"/>
        <w:spacing w:after="120"/>
        <w:ind w:left="0"/>
        <w:jc w:val="both"/>
        <w:rPr>
          <w:rFonts w:ascii="Times New Roman" w:hAnsi="Times New Roman"/>
          <w:sz w:val="20"/>
          <w:szCs w:val="20"/>
        </w:rPr>
      </w:pPr>
      <w:r>
        <w:rPr>
          <w:rFonts w:ascii="Times New Roman" w:hAnsi="Times New Roman"/>
          <w:sz w:val="20"/>
          <w:szCs w:val="20"/>
        </w:rPr>
        <w:sym w:font="Wingdings" w:char="F0FC"/>
      </w:r>
      <w:r>
        <w:rPr>
          <w:rFonts w:ascii="Times New Roman" w:hAnsi="Times New Roman"/>
          <w:sz w:val="20"/>
          <w:szCs w:val="20"/>
        </w:rPr>
        <w:t xml:space="preserve">  </w:t>
      </w:r>
      <w:proofErr w:type="gramStart"/>
      <w:r w:rsidRPr="003B7CF0">
        <w:rPr>
          <w:rFonts w:ascii="Times New Roman" w:hAnsi="Times New Roman"/>
          <w:sz w:val="20"/>
          <w:szCs w:val="20"/>
        </w:rPr>
        <w:t>Прямое</w:t>
      </w:r>
      <w:proofErr w:type="gramEnd"/>
      <w:r w:rsidRPr="003B7CF0">
        <w:rPr>
          <w:rFonts w:ascii="Times New Roman" w:hAnsi="Times New Roman"/>
          <w:sz w:val="20"/>
          <w:szCs w:val="20"/>
        </w:rPr>
        <w:t xml:space="preserve"> </w:t>
      </w:r>
      <w:proofErr w:type="spellStart"/>
      <w:r w:rsidRPr="003B7CF0">
        <w:rPr>
          <w:rFonts w:ascii="Times New Roman" w:hAnsi="Times New Roman"/>
          <w:sz w:val="20"/>
          <w:szCs w:val="20"/>
        </w:rPr>
        <w:t>дебетование</w:t>
      </w:r>
      <w:proofErr w:type="spellEnd"/>
      <w:r w:rsidRPr="003B7CF0">
        <w:rPr>
          <w:rFonts w:ascii="Times New Roman" w:hAnsi="Times New Roman"/>
          <w:sz w:val="20"/>
          <w:szCs w:val="20"/>
        </w:rPr>
        <w:t xml:space="preserve"> с согласия клиента (акцепт, в том числе заранее данный)</w:t>
      </w:r>
      <w:r>
        <w:rPr>
          <w:rFonts w:ascii="Times New Roman" w:hAnsi="Times New Roman"/>
          <w:sz w:val="20"/>
          <w:szCs w:val="20"/>
        </w:rPr>
        <w:t xml:space="preserve">; </w:t>
      </w:r>
    </w:p>
    <w:p w:rsidR="00D65D22" w:rsidRDefault="00D65D22" w:rsidP="00D65D22">
      <w:pPr>
        <w:pStyle w:val="a6"/>
        <w:spacing w:after="120"/>
        <w:ind w:left="0"/>
        <w:jc w:val="both"/>
        <w:rPr>
          <w:rFonts w:ascii="Times New Roman" w:hAnsi="Times New Roman"/>
          <w:sz w:val="20"/>
          <w:szCs w:val="20"/>
        </w:rPr>
      </w:pPr>
      <w:r>
        <w:rPr>
          <w:rFonts w:ascii="Times New Roman" w:hAnsi="Times New Roman"/>
          <w:sz w:val="20"/>
          <w:szCs w:val="20"/>
        </w:rPr>
        <w:sym w:font="Wingdings" w:char="F0FC"/>
      </w:r>
      <w:r>
        <w:rPr>
          <w:rFonts w:ascii="Times New Roman" w:hAnsi="Times New Roman"/>
          <w:sz w:val="20"/>
          <w:szCs w:val="20"/>
        </w:rPr>
        <w:t xml:space="preserve">  </w:t>
      </w:r>
      <w:r w:rsidRPr="003B7CF0">
        <w:rPr>
          <w:rFonts w:ascii="Times New Roman" w:hAnsi="Times New Roman"/>
          <w:sz w:val="20"/>
          <w:szCs w:val="20"/>
        </w:rPr>
        <w:t>Операции между резидентом и уполномоченным банком</w:t>
      </w:r>
      <w:r>
        <w:rPr>
          <w:rFonts w:ascii="Times New Roman" w:hAnsi="Times New Roman"/>
          <w:sz w:val="20"/>
          <w:szCs w:val="20"/>
        </w:rPr>
        <w:t xml:space="preserve">; </w:t>
      </w:r>
    </w:p>
    <w:p w:rsidR="00D65D22" w:rsidRDefault="00D65D22" w:rsidP="00D65D22">
      <w:pPr>
        <w:pStyle w:val="a6"/>
        <w:spacing w:after="120"/>
        <w:ind w:left="0"/>
        <w:jc w:val="both"/>
        <w:rPr>
          <w:rFonts w:ascii="Times New Roman" w:hAnsi="Times New Roman"/>
          <w:sz w:val="20"/>
          <w:szCs w:val="20"/>
        </w:rPr>
      </w:pPr>
      <w:r>
        <w:rPr>
          <w:rFonts w:ascii="Times New Roman" w:hAnsi="Times New Roman"/>
          <w:sz w:val="20"/>
          <w:szCs w:val="20"/>
        </w:rPr>
        <w:sym w:font="Wingdings" w:char="F0FC"/>
      </w:r>
      <w:r>
        <w:rPr>
          <w:rFonts w:ascii="Times New Roman" w:hAnsi="Times New Roman"/>
          <w:sz w:val="20"/>
          <w:szCs w:val="20"/>
        </w:rPr>
        <w:t xml:space="preserve"> </w:t>
      </w:r>
      <w:r w:rsidRPr="003B7CF0">
        <w:rPr>
          <w:rFonts w:ascii="Times New Roman" w:hAnsi="Times New Roman"/>
          <w:sz w:val="20"/>
          <w:szCs w:val="20"/>
        </w:rPr>
        <w:t>Операции между своими счетами (в том числе счетами по депозиту),   открытыми в одном уполномоченном банке</w:t>
      </w:r>
      <w:r>
        <w:rPr>
          <w:rFonts w:ascii="Times New Roman" w:hAnsi="Times New Roman"/>
          <w:sz w:val="20"/>
          <w:szCs w:val="20"/>
        </w:rPr>
        <w:t xml:space="preserve">; </w:t>
      </w:r>
    </w:p>
    <w:p w:rsidR="00D65D22" w:rsidRDefault="00D65D22" w:rsidP="00D65D22">
      <w:pPr>
        <w:pStyle w:val="a6"/>
        <w:spacing w:after="120"/>
        <w:ind w:left="0"/>
        <w:jc w:val="both"/>
        <w:rPr>
          <w:rFonts w:ascii="Times New Roman" w:hAnsi="Times New Roman"/>
          <w:sz w:val="20"/>
          <w:szCs w:val="20"/>
        </w:rPr>
      </w:pPr>
      <w:r>
        <w:rPr>
          <w:rFonts w:ascii="Times New Roman" w:hAnsi="Times New Roman"/>
          <w:sz w:val="20"/>
          <w:szCs w:val="20"/>
        </w:rPr>
        <w:sym w:font="Wingdings" w:char="F0FC"/>
      </w:r>
      <w:r>
        <w:rPr>
          <w:rFonts w:ascii="Times New Roman" w:hAnsi="Times New Roman"/>
          <w:sz w:val="20"/>
          <w:szCs w:val="20"/>
        </w:rPr>
        <w:t xml:space="preserve">  </w:t>
      </w:r>
      <w:r w:rsidRPr="003B7CF0">
        <w:rPr>
          <w:rFonts w:ascii="Times New Roman" w:hAnsi="Times New Roman"/>
          <w:sz w:val="20"/>
          <w:szCs w:val="20"/>
        </w:rPr>
        <w:t>Выплаты физическим лицам - нерезидентам пенсий, компенсаций, пособий и иных выплат в случаях, установленных законодательством РФ о пенсионном обеспечении и страховании</w:t>
      </w:r>
      <w:r>
        <w:rPr>
          <w:rFonts w:ascii="Times New Roman" w:hAnsi="Times New Roman"/>
          <w:sz w:val="20"/>
          <w:szCs w:val="20"/>
        </w:rPr>
        <w:t xml:space="preserve">;  </w:t>
      </w:r>
    </w:p>
    <w:p w:rsidR="00D65D22" w:rsidRDefault="00D65D22" w:rsidP="00D65D22">
      <w:pPr>
        <w:pStyle w:val="a6"/>
        <w:spacing w:after="120"/>
        <w:ind w:left="0"/>
        <w:jc w:val="both"/>
        <w:rPr>
          <w:rFonts w:ascii="Times New Roman" w:hAnsi="Times New Roman"/>
          <w:sz w:val="20"/>
          <w:szCs w:val="20"/>
          <w:lang w:eastAsia="ru-RU"/>
        </w:rPr>
      </w:pPr>
      <w:r>
        <w:rPr>
          <w:rFonts w:ascii="Times New Roman" w:hAnsi="Times New Roman"/>
          <w:sz w:val="20"/>
          <w:szCs w:val="20"/>
          <w:lang w:eastAsia="ru-RU"/>
        </w:rPr>
        <w:sym w:font="Wingdings" w:char="F0FC"/>
      </w:r>
      <w:r>
        <w:rPr>
          <w:rFonts w:ascii="Times New Roman" w:hAnsi="Times New Roman"/>
          <w:sz w:val="20"/>
          <w:szCs w:val="20"/>
          <w:lang w:eastAsia="ru-RU"/>
        </w:rPr>
        <w:t xml:space="preserve">  </w:t>
      </w:r>
      <w:r w:rsidRPr="003B7CF0">
        <w:rPr>
          <w:rFonts w:ascii="Times New Roman" w:hAnsi="Times New Roman"/>
          <w:sz w:val="20"/>
          <w:szCs w:val="20"/>
          <w:lang w:eastAsia="ru-RU"/>
        </w:rPr>
        <w:t>Операции с использованием банковской карты, за исключением случая осуществления операций по договору, принятому на учет Банком УК</w:t>
      </w:r>
      <w:r>
        <w:rPr>
          <w:rFonts w:ascii="Times New Roman" w:hAnsi="Times New Roman"/>
          <w:sz w:val="20"/>
          <w:szCs w:val="20"/>
          <w:lang w:eastAsia="ru-RU"/>
        </w:rPr>
        <w:t xml:space="preserve">; </w:t>
      </w:r>
    </w:p>
    <w:p w:rsidR="00D65D22" w:rsidRPr="003B7CF0" w:rsidRDefault="00D65D22" w:rsidP="00D65D22">
      <w:pPr>
        <w:pStyle w:val="a6"/>
        <w:spacing w:after="120"/>
        <w:ind w:left="0"/>
        <w:jc w:val="both"/>
        <w:rPr>
          <w:rFonts w:ascii="Times New Roman" w:hAnsi="Times New Roman"/>
          <w:sz w:val="20"/>
          <w:szCs w:val="20"/>
        </w:rPr>
      </w:pPr>
      <w:r>
        <w:rPr>
          <w:rFonts w:ascii="Times New Roman" w:hAnsi="Times New Roman"/>
          <w:sz w:val="20"/>
          <w:szCs w:val="20"/>
          <w:lang w:eastAsia="ru-RU"/>
        </w:rPr>
        <w:t xml:space="preserve"> </w:t>
      </w:r>
      <w:r>
        <w:rPr>
          <w:rFonts w:ascii="Times New Roman" w:hAnsi="Times New Roman"/>
          <w:sz w:val="20"/>
          <w:szCs w:val="20"/>
          <w:lang w:eastAsia="ru-RU"/>
        </w:rPr>
        <w:sym w:font="Wingdings" w:char="F0FC"/>
      </w:r>
      <w:r>
        <w:rPr>
          <w:rFonts w:ascii="Times New Roman" w:hAnsi="Times New Roman"/>
          <w:sz w:val="20"/>
          <w:szCs w:val="20"/>
          <w:lang w:eastAsia="ru-RU"/>
        </w:rPr>
        <w:t xml:space="preserve"> </w:t>
      </w:r>
      <w:r w:rsidRPr="003B7CF0">
        <w:rPr>
          <w:rFonts w:ascii="Times New Roman" w:hAnsi="Times New Roman"/>
          <w:sz w:val="20"/>
          <w:szCs w:val="20"/>
          <w:lang w:eastAsia="ru-RU"/>
        </w:rPr>
        <w:t>Операции по аккредитиву, за исключением случаев осуществления операций с использованием аккредитивной формы расчетов по контрактам, поставленным на учет</w:t>
      </w:r>
    </w:p>
    <w:p w:rsidR="00D65D22" w:rsidRPr="003B7CF0" w:rsidRDefault="00D65D22" w:rsidP="00D65D22">
      <w:pPr>
        <w:pStyle w:val="a6"/>
        <w:spacing w:after="120"/>
        <w:ind w:left="0"/>
        <w:jc w:val="both"/>
        <w:rPr>
          <w:rFonts w:ascii="Times New Roman" w:hAnsi="Times New Roman"/>
          <w:sz w:val="20"/>
          <w:szCs w:val="20"/>
        </w:rPr>
      </w:pPr>
    </w:p>
    <w:p w:rsidR="00CD5B05" w:rsidRDefault="00DA141B" w:rsidP="009C5B67">
      <w:pPr>
        <w:autoSpaceDE w:val="0"/>
        <w:autoSpaceDN w:val="0"/>
        <w:adjustRightInd w:val="0"/>
        <w:spacing w:after="120" w:line="240" w:lineRule="auto"/>
        <w:jc w:val="both"/>
        <w:rPr>
          <w:lang w:val="ru-RU"/>
        </w:rPr>
      </w:pPr>
      <w:r w:rsidRPr="00DA141B">
        <w:rPr>
          <w:rFonts w:ascii="Times New Roman" w:eastAsia="Calibri" w:hAnsi="Times New Roman"/>
          <w:b/>
          <w:color w:val="FF0000"/>
          <w:sz w:val="28"/>
          <w:szCs w:val="28"/>
          <w:lang w:val="ru-RU" w:eastAsia="ru-RU"/>
        </w:rPr>
        <w:t>!!!</w:t>
      </w:r>
      <w:r w:rsidR="00CD5B05" w:rsidRPr="003B7CF0">
        <w:rPr>
          <w:rFonts w:ascii="Times New Roman" w:eastAsia="Calibri" w:hAnsi="Times New Roman"/>
          <w:b/>
          <w:sz w:val="20"/>
          <w:szCs w:val="20"/>
          <w:lang w:val="ru-RU" w:eastAsia="ru-RU"/>
        </w:rPr>
        <w:t xml:space="preserve"> При проведении любой из операций, не требующих представления документов в соответствии с Инструкцией 181-И, Банк как агент валютного контроля вправе запросить при необходимости документы, связанные с проведением операции, на основании ст. 23 Федерального закона </w:t>
      </w:r>
      <w:r w:rsidR="00CD5B05" w:rsidRPr="003B7CF0">
        <w:rPr>
          <w:rFonts w:ascii="Times New Roman" w:hAnsi="Times New Roman"/>
          <w:sz w:val="20"/>
          <w:szCs w:val="20"/>
          <w:lang w:val="ru-RU"/>
        </w:rPr>
        <w:t>от 10.12.2003 № 173-ФЗ «О валютном регулировании и валютном контроле»</w:t>
      </w:r>
      <w:r w:rsidR="00CD5B05" w:rsidRPr="003B7CF0">
        <w:rPr>
          <w:rFonts w:ascii="Times New Roman" w:eastAsia="Calibri" w:hAnsi="Times New Roman"/>
          <w:b/>
          <w:sz w:val="20"/>
          <w:szCs w:val="20"/>
          <w:lang w:val="ru-RU" w:eastAsia="ru-RU"/>
        </w:rPr>
        <w:t xml:space="preserve">. </w:t>
      </w:r>
    </w:p>
    <w:sectPr w:rsidR="00CD5B05" w:rsidSect="00BA14F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53" w:rsidRDefault="00492B53" w:rsidP="00CD5B05">
      <w:pPr>
        <w:spacing w:after="0" w:line="240" w:lineRule="auto"/>
      </w:pPr>
      <w:r>
        <w:separator/>
      </w:r>
    </w:p>
  </w:endnote>
  <w:endnote w:type="continuationSeparator" w:id="0">
    <w:p w:rsidR="00492B53" w:rsidRDefault="00492B53" w:rsidP="00CD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53" w:rsidRDefault="00492B53" w:rsidP="00CD5B05">
      <w:pPr>
        <w:spacing w:after="0" w:line="240" w:lineRule="auto"/>
      </w:pPr>
      <w:r>
        <w:separator/>
      </w:r>
    </w:p>
  </w:footnote>
  <w:footnote w:type="continuationSeparator" w:id="0">
    <w:p w:rsidR="00492B53" w:rsidRDefault="00492B53" w:rsidP="00CD5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466"/>
    <w:multiLevelType w:val="hybridMultilevel"/>
    <w:tmpl w:val="654E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479A5"/>
    <w:multiLevelType w:val="hybridMultilevel"/>
    <w:tmpl w:val="15A01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60572"/>
    <w:multiLevelType w:val="hybridMultilevel"/>
    <w:tmpl w:val="E1DC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2567D"/>
    <w:multiLevelType w:val="hybridMultilevel"/>
    <w:tmpl w:val="0BBC892A"/>
    <w:lvl w:ilvl="0" w:tplc="B2D07D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11E31"/>
    <w:multiLevelType w:val="hybridMultilevel"/>
    <w:tmpl w:val="DF52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AE2AF1"/>
    <w:multiLevelType w:val="hybridMultilevel"/>
    <w:tmpl w:val="176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10A22"/>
    <w:multiLevelType w:val="hybridMultilevel"/>
    <w:tmpl w:val="CADE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B5ACF"/>
    <w:multiLevelType w:val="hybridMultilevel"/>
    <w:tmpl w:val="08FCE5A8"/>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4501E25"/>
    <w:multiLevelType w:val="hybridMultilevel"/>
    <w:tmpl w:val="2D22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E6658F"/>
    <w:multiLevelType w:val="hybridMultilevel"/>
    <w:tmpl w:val="F968D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60C74BB"/>
    <w:multiLevelType w:val="hybridMultilevel"/>
    <w:tmpl w:val="E562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807159"/>
    <w:multiLevelType w:val="hybridMultilevel"/>
    <w:tmpl w:val="4A76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967F3"/>
    <w:multiLevelType w:val="hybridMultilevel"/>
    <w:tmpl w:val="E64CB3AC"/>
    <w:lvl w:ilvl="0" w:tplc="04190001">
      <w:start w:val="1"/>
      <w:numFmt w:val="bullet"/>
      <w:lvlText w:val=""/>
      <w:lvlJc w:val="left"/>
      <w:pPr>
        <w:tabs>
          <w:tab w:val="num" w:pos="360"/>
        </w:tabs>
        <w:ind w:left="360" w:hanging="360"/>
      </w:pPr>
      <w:rPr>
        <w:rFonts w:ascii="Symbol" w:hAnsi="Symbol" w:hint="default"/>
      </w:rPr>
    </w:lvl>
    <w:lvl w:ilvl="1" w:tplc="A412E00C" w:tentative="1">
      <w:start w:val="1"/>
      <w:numFmt w:val="bullet"/>
      <w:lvlText w:val=""/>
      <w:lvlJc w:val="left"/>
      <w:pPr>
        <w:tabs>
          <w:tab w:val="num" w:pos="1440"/>
        </w:tabs>
        <w:ind w:left="1440" w:hanging="360"/>
      </w:pPr>
      <w:rPr>
        <w:rFonts w:ascii="Wingdings" w:hAnsi="Wingdings" w:hint="default"/>
      </w:rPr>
    </w:lvl>
    <w:lvl w:ilvl="2" w:tplc="CED41324" w:tentative="1">
      <w:start w:val="1"/>
      <w:numFmt w:val="bullet"/>
      <w:lvlText w:val=""/>
      <w:lvlJc w:val="left"/>
      <w:pPr>
        <w:tabs>
          <w:tab w:val="num" w:pos="2160"/>
        </w:tabs>
        <w:ind w:left="2160" w:hanging="360"/>
      </w:pPr>
      <w:rPr>
        <w:rFonts w:ascii="Wingdings" w:hAnsi="Wingdings" w:hint="default"/>
      </w:rPr>
    </w:lvl>
    <w:lvl w:ilvl="3" w:tplc="B98817C8" w:tentative="1">
      <w:start w:val="1"/>
      <w:numFmt w:val="bullet"/>
      <w:lvlText w:val=""/>
      <w:lvlJc w:val="left"/>
      <w:pPr>
        <w:tabs>
          <w:tab w:val="num" w:pos="2880"/>
        </w:tabs>
        <w:ind w:left="2880" w:hanging="360"/>
      </w:pPr>
      <w:rPr>
        <w:rFonts w:ascii="Wingdings" w:hAnsi="Wingdings" w:hint="default"/>
      </w:rPr>
    </w:lvl>
    <w:lvl w:ilvl="4" w:tplc="CC52E0FA" w:tentative="1">
      <w:start w:val="1"/>
      <w:numFmt w:val="bullet"/>
      <w:lvlText w:val=""/>
      <w:lvlJc w:val="left"/>
      <w:pPr>
        <w:tabs>
          <w:tab w:val="num" w:pos="3600"/>
        </w:tabs>
        <w:ind w:left="3600" w:hanging="360"/>
      </w:pPr>
      <w:rPr>
        <w:rFonts w:ascii="Wingdings" w:hAnsi="Wingdings" w:hint="default"/>
      </w:rPr>
    </w:lvl>
    <w:lvl w:ilvl="5" w:tplc="56149900" w:tentative="1">
      <w:start w:val="1"/>
      <w:numFmt w:val="bullet"/>
      <w:lvlText w:val=""/>
      <w:lvlJc w:val="left"/>
      <w:pPr>
        <w:tabs>
          <w:tab w:val="num" w:pos="4320"/>
        </w:tabs>
        <w:ind w:left="4320" w:hanging="360"/>
      </w:pPr>
      <w:rPr>
        <w:rFonts w:ascii="Wingdings" w:hAnsi="Wingdings" w:hint="default"/>
      </w:rPr>
    </w:lvl>
    <w:lvl w:ilvl="6" w:tplc="FE94237E" w:tentative="1">
      <w:start w:val="1"/>
      <w:numFmt w:val="bullet"/>
      <w:lvlText w:val=""/>
      <w:lvlJc w:val="left"/>
      <w:pPr>
        <w:tabs>
          <w:tab w:val="num" w:pos="5040"/>
        </w:tabs>
        <w:ind w:left="5040" w:hanging="360"/>
      </w:pPr>
      <w:rPr>
        <w:rFonts w:ascii="Wingdings" w:hAnsi="Wingdings" w:hint="default"/>
      </w:rPr>
    </w:lvl>
    <w:lvl w:ilvl="7" w:tplc="DBD03F72" w:tentative="1">
      <w:start w:val="1"/>
      <w:numFmt w:val="bullet"/>
      <w:lvlText w:val=""/>
      <w:lvlJc w:val="left"/>
      <w:pPr>
        <w:tabs>
          <w:tab w:val="num" w:pos="5760"/>
        </w:tabs>
        <w:ind w:left="5760" w:hanging="360"/>
      </w:pPr>
      <w:rPr>
        <w:rFonts w:ascii="Wingdings" w:hAnsi="Wingdings" w:hint="default"/>
      </w:rPr>
    </w:lvl>
    <w:lvl w:ilvl="8" w:tplc="8250B36E" w:tentative="1">
      <w:start w:val="1"/>
      <w:numFmt w:val="bullet"/>
      <w:lvlText w:val=""/>
      <w:lvlJc w:val="left"/>
      <w:pPr>
        <w:tabs>
          <w:tab w:val="num" w:pos="6480"/>
        </w:tabs>
        <w:ind w:left="6480" w:hanging="360"/>
      </w:pPr>
      <w:rPr>
        <w:rFonts w:ascii="Wingdings" w:hAnsi="Wingdings" w:hint="default"/>
      </w:rPr>
    </w:lvl>
  </w:abstractNum>
  <w:abstractNum w:abstractNumId="13">
    <w:nsid w:val="4CEE072B"/>
    <w:multiLevelType w:val="hybridMultilevel"/>
    <w:tmpl w:val="B5762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DC7B98"/>
    <w:multiLevelType w:val="hybridMultilevel"/>
    <w:tmpl w:val="718EE2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EF4452"/>
    <w:multiLevelType w:val="hybridMultilevel"/>
    <w:tmpl w:val="6A164F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6DB50D97"/>
    <w:multiLevelType w:val="hybridMultilevel"/>
    <w:tmpl w:val="95F69B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F137A20"/>
    <w:multiLevelType w:val="hybridMultilevel"/>
    <w:tmpl w:val="173E2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006CC6"/>
    <w:multiLevelType w:val="hybridMultilevel"/>
    <w:tmpl w:val="72C0A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174D4"/>
    <w:multiLevelType w:val="hybridMultilevel"/>
    <w:tmpl w:val="53DCAE34"/>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7F122B"/>
    <w:multiLevelType w:val="hybridMultilevel"/>
    <w:tmpl w:val="79C849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7"/>
  </w:num>
  <w:num w:numId="5">
    <w:abstractNumId w:val="1"/>
  </w:num>
  <w:num w:numId="6">
    <w:abstractNumId w:val="18"/>
  </w:num>
  <w:num w:numId="7">
    <w:abstractNumId w:val="16"/>
  </w:num>
  <w:num w:numId="8">
    <w:abstractNumId w:val="13"/>
  </w:num>
  <w:num w:numId="9">
    <w:abstractNumId w:val="17"/>
  </w:num>
  <w:num w:numId="10">
    <w:abstractNumId w:val="10"/>
  </w:num>
  <w:num w:numId="11">
    <w:abstractNumId w:val="15"/>
  </w:num>
  <w:num w:numId="12">
    <w:abstractNumId w:val="2"/>
  </w:num>
  <w:num w:numId="13">
    <w:abstractNumId w:val="6"/>
  </w:num>
  <w:num w:numId="14">
    <w:abstractNumId w:val="8"/>
  </w:num>
  <w:num w:numId="15">
    <w:abstractNumId w:val="19"/>
  </w:num>
  <w:num w:numId="16">
    <w:abstractNumId w:val="11"/>
  </w:num>
  <w:num w:numId="17">
    <w:abstractNumId w:val="20"/>
  </w:num>
  <w:num w:numId="18">
    <w:abstractNumId w:val="9"/>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5B05"/>
    <w:rsid w:val="000714BE"/>
    <w:rsid w:val="00122700"/>
    <w:rsid w:val="002A5B7E"/>
    <w:rsid w:val="004148C5"/>
    <w:rsid w:val="00463E6A"/>
    <w:rsid w:val="00492B53"/>
    <w:rsid w:val="005C464B"/>
    <w:rsid w:val="005F5BC3"/>
    <w:rsid w:val="00606A69"/>
    <w:rsid w:val="00634E53"/>
    <w:rsid w:val="006D059D"/>
    <w:rsid w:val="00787DC5"/>
    <w:rsid w:val="0087092C"/>
    <w:rsid w:val="008905B3"/>
    <w:rsid w:val="008D24A6"/>
    <w:rsid w:val="00936543"/>
    <w:rsid w:val="00974459"/>
    <w:rsid w:val="009C5B67"/>
    <w:rsid w:val="00B27CA7"/>
    <w:rsid w:val="00BA14FE"/>
    <w:rsid w:val="00C363B9"/>
    <w:rsid w:val="00CB286C"/>
    <w:rsid w:val="00CD5B05"/>
    <w:rsid w:val="00D65D22"/>
    <w:rsid w:val="00DA141B"/>
    <w:rsid w:val="00DC1253"/>
    <w:rsid w:val="00E7457D"/>
    <w:rsid w:val="00EE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05"/>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D5B05"/>
    <w:pPr>
      <w:spacing w:after="0" w:line="240" w:lineRule="auto"/>
    </w:pPr>
    <w:rPr>
      <w:sz w:val="20"/>
      <w:szCs w:val="20"/>
    </w:rPr>
  </w:style>
  <w:style w:type="character" w:customStyle="1" w:styleId="a4">
    <w:name w:val="Текст сноски Знак"/>
    <w:basedOn w:val="a0"/>
    <w:link w:val="a3"/>
    <w:rsid w:val="00CD5B05"/>
    <w:rPr>
      <w:rFonts w:ascii="Calibri" w:eastAsia="Times New Roman" w:hAnsi="Calibri" w:cs="Times New Roman"/>
      <w:sz w:val="20"/>
      <w:szCs w:val="20"/>
      <w:lang w:val="en-US"/>
    </w:rPr>
  </w:style>
  <w:style w:type="character" w:styleId="a5">
    <w:name w:val="footnote reference"/>
    <w:rsid w:val="00CD5B05"/>
    <w:rPr>
      <w:rFonts w:cs="Times New Roman"/>
      <w:vertAlign w:val="superscript"/>
    </w:rPr>
  </w:style>
  <w:style w:type="paragraph" w:customStyle="1" w:styleId="ListParagraph1">
    <w:name w:val="List Paragraph1"/>
    <w:basedOn w:val="a"/>
    <w:rsid w:val="00CD5B05"/>
    <w:pPr>
      <w:ind w:left="720"/>
      <w:contextualSpacing/>
    </w:pPr>
  </w:style>
  <w:style w:type="paragraph" w:styleId="a6">
    <w:name w:val="List Paragraph"/>
    <w:basedOn w:val="a"/>
    <w:uiPriority w:val="34"/>
    <w:qFormat/>
    <w:rsid w:val="00CD5B05"/>
    <w:pPr>
      <w:ind w:left="720"/>
      <w:contextualSpacing/>
    </w:pPr>
    <w:rPr>
      <w:rFonts w:eastAsia="Calibri"/>
      <w:sz w:val="22"/>
      <w:szCs w:val="22"/>
      <w:lang w:val="ru-RU"/>
    </w:rPr>
  </w:style>
  <w:style w:type="table" w:styleId="a7">
    <w:name w:val="Table Grid"/>
    <w:basedOn w:val="a1"/>
    <w:uiPriority w:val="59"/>
    <w:rsid w:val="00CD5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5B0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Ерастова</dc:creator>
  <cp:lastModifiedBy>Ерастова Елена Сергеевна</cp:lastModifiedBy>
  <cp:revision>12</cp:revision>
  <dcterms:created xsi:type="dcterms:W3CDTF">2020-02-26T15:45:00Z</dcterms:created>
  <dcterms:modified xsi:type="dcterms:W3CDTF">2021-06-23T08:14:00Z</dcterms:modified>
</cp:coreProperties>
</file>