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6C" w:rsidRPr="00F6506C" w:rsidRDefault="00F6506C" w:rsidP="00F6506C">
      <w:pPr>
        <w:spacing w:after="120"/>
        <w:ind w:left="142"/>
        <w:outlineLvl w:val="0"/>
        <w:rPr>
          <w:rFonts w:ascii="Georgia" w:eastAsia="Times New Roman" w:hAnsi="Georgia" w:cs="Arial"/>
          <w:color w:val="000000"/>
          <w:kern w:val="36"/>
          <w:sz w:val="53"/>
          <w:szCs w:val="53"/>
        </w:rPr>
      </w:pPr>
      <w:r>
        <w:rPr>
          <w:rFonts w:ascii="Georgia" w:eastAsia="Times New Roman" w:hAnsi="Georgia" w:cs="Arial"/>
          <w:color w:val="000000"/>
          <w:kern w:val="36"/>
          <w:sz w:val="53"/>
          <w:szCs w:val="53"/>
        </w:rPr>
        <w:t xml:space="preserve">Информация с сайта Банка России </w:t>
      </w:r>
      <w:r>
        <w:rPr>
          <w:rFonts w:ascii="Georgia" w:eastAsia="Times New Roman" w:hAnsi="Georgia" w:cs="Arial"/>
          <w:color w:val="000000"/>
          <w:kern w:val="36"/>
          <w:sz w:val="53"/>
          <w:szCs w:val="53"/>
          <w:lang w:val="en-US"/>
        </w:rPr>
        <w:t>www</w:t>
      </w:r>
      <w:r w:rsidRPr="00F6506C">
        <w:rPr>
          <w:rFonts w:ascii="Georgia" w:eastAsia="Times New Roman" w:hAnsi="Georgia" w:cs="Arial"/>
          <w:color w:val="000000"/>
          <w:kern w:val="36"/>
          <w:sz w:val="53"/>
          <w:szCs w:val="53"/>
        </w:rPr>
        <w:t>.</w:t>
      </w:r>
      <w:proofErr w:type="spellStart"/>
      <w:r>
        <w:rPr>
          <w:rFonts w:ascii="Georgia" w:eastAsia="Times New Roman" w:hAnsi="Georgia" w:cs="Arial"/>
          <w:color w:val="000000"/>
          <w:kern w:val="36"/>
          <w:sz w:val="53"/>
          <w:szCs w:val="53"/>
          <w:lang w:val="en-US"/>
        </w:rPr>
        <w:t>cbr</w:t>
      </w:r>
      <w:proofErr w:type="spellEnd"/>
      <w:r w:rsidRPr="00F6506C">
        <w:rPr>
          <w:rFonts w:ascii="Georgia" w:eastAsia="Times New Roman" w:hAnsi="Georgia" w:cs="Arial"/>
          <w:color w:val="000000"/>
          <w:kern w:val="36"/>
          <w:sz w:val="53"/>
          <w:szCs w:val="53"/>
        </w:rPr>
        <w:t>.</w:t>
      </w:r>
      <w:proofErr w:type="spellStart"/>
      <w:r>
        <w:rPr>
          <w:rFonts w:ascii="Georgia" w:eastAsia="Times New Roman" w:hAnsi="Georgia" w:cs="Arial"/>
          <w:color w:val="000000"/>
          <w:kern w:val="36"/>
          <w:sz w:val="53"/>
          <w:szCs w:val="53"/>
          <w:lang w:val="en-US"/>
        </w:rPr>
        <w:t>ru</w:t>
      </w:r>
      <w:proofErr w:type="spellEnd"/>
    </w:p>
    <w:p w:rsidR="00F6506C" w:rsidRPr="00F6506C" w:rsidRDefault="00F6506C" w:rsidP="00F6506C">
      <w:pPr>
        <w:spacing w:after="120"/>
        <w:ind w:left="142"/>
        <w:outlineLvl w:val="0"/>
        <w:rPr>
          <w:rFonts w:ascii="Georgia" w:eastAsia="Times New Roman" w:hAnsi="Georgia" w:cs="Arial"/>
          <w:color w:val="000000"/>
          <w:kern w:val="36"/>
          <w:sz w:val="53"/>
          <w:szCs w:val="53"/>
        </w:rPr>
      </w:pPr>
      <w:r w:rsidRPr="00F6506C">
        <w:rPr>
          <w:rFonts w:ascii="Georgia" w:eastAsia="Times New Roman" w:hAnsi="Georgia" w:cs="Arial"/>
          <w:color w:val="000000"/>
          <w:kern w:val="36"/>
          <w:sz w:val="53"/>
          <w:szCs w:val="53"/>
        </w:rPr>
        <w:t>О «финансовых пирамидах»</w:t>
      </w:r>
    </w:p>
    <w:p w:rsidR="00F6506C" w:rsidRPr="00F6506C" w:rsidRDefault="00F6506C" w:rsidP="00F6506C">
      <w:pPr>
        <w:rPr>
          <w:rFonts w:ascii="Arial" w:eastAsia="Times New Roman" w:hAnsi="Arial" w:cs="Arial"/>
          <w:color w:val="000000"/>
          <w:sz w:val="21"/>
          <w:szCs w:val="21"/>
        </w:rPr>
      </w:pPr>
    </w:p>
    <w:bookmarkStart w:id="0" w:name="BL_UC_itm_29763"/>
    <w:bookmarkStart w:id="1" w:name="287"/>
    <w:bookmarkEnd w:id="0"/>
    <w:bookmarkEnd w:id="1"/>
    <w:p w:rsidR="00F6506C" w:rsidRPr="00F6506C" w:rsidRDefault="00F6506C" w:rsidP="00234296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"http://www.cbr.ru/IReception/?PrtId=finp" \l "287" </w:instrText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F6506C">
        <w:rPr>
          <w:rFonts w:ascii="Arial" w:eastAsia="Times New Roman" w:hAnsi="Arial" w:cs="Arial"/>
          <w:color w:val="0000FF"/>
          <w:sz w:val="21"/>
          <w:u w:val="single"/>
        </w:rPr>
        <w:t>По каким признакам можно распознать «финансовую пирамиду»?</w:t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F6506C" w:rsidRPr="00F6506C" w:rsidRDefault="00F6506C" w:rsidP="00234296">
      <w:pPr>
        <w:spacing w:before="100" w:beforeAutospacing="1" w:after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>Существует несколько общих для всех «финансовых пирамид» признаков:</w:t>
      </w:r>
    </w:p>
    <w:p w:rsidR="00F6506C" w:rsidRPr="00F6506C" w:rsidRDefault="00F6506C" w:rsidP="00234296">
      <w:pPr>
        <w:numPr>
          <w:ilvl w:val="0"/>
          <w:numId w:val="1"/>
        </w:numPr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>отсутствие лицензии ФКЦБ/ФСФР России или Банка России на осуществление деятельности по привлечению денежных средств;</w:t>
      </w:r>
    </w:p>
    <w:p w:rsidR="00F6506C" w:rsidRPr="00F6506C" w:rsidRDefault="00F6506C" w:rsidP="00234296">
      <w:pPr>
        <w:numPr>
          <w:ilvl w:val="0"/>
          <w:numId w:val="1"/>
        </w:numPr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>обещание высокой доходности, в несколько раз превышающей рыночный уровень;</w:t>
      </w:r>
    </w:p>
    <w:p w:rsidR="00F6506C" w:rsidRPr="00F6506C" w:rsidRDefault="00F6506C" w:rsidP="00234296">
      <w:pPr>
        <w:numPr>
          <w:ilvl w:val="0"/>
          <w:numId w:val="1"/>
        </w:numPr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>гарантирование доходности (что запрещено на рынке ценных бумаг);</w:t>
      </w:r>
    </w:p>
    <w:p w:rsidR="00F6506C" w:rsidRPr="00F6506C" w:rsidRDefault="00F6506C" w:rsidP="00234296">
      <w:pPr>
        <w:numPr>
          <w:ilvl w:val="0"/>
          <w:numId w:val="1"/>
        </w:numPr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>массированная реклама в средствах массовой информации, сети Интернет с обещанием высокой доходности;</w:t>
      </w:r>
    </w:p>
    <w:p w:rsidR="00F6506C" w:rsidRPr="00F6506C" w:rsidRDefault="00F6506C" w:rsidP="00234296">
      <w:pPr>
        <w:numPr>
          <w:ilvl w:val="0"/>
          <w:numId w:val="1"/>
        </w:numPr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>отсутствие какой-либо информации о финансовом положении организации;</w:t>
      </w:r>
    </w:p>
    <w:p w:rsidR="00F6506C" w:rsidRPr="00F6506C" w:rsidRDefault="00F6506C" w:rsidP="00234296">
      <w:pPr>
        <w:numPr>
          <w:ilvl w:val="0"/>
          <w:numId w:val="1"/>
        </w:numPr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>выплата денежных средств новым участникам из денежных средств, внесенных другими вкладчиками ранее;</w:t>
      </w:r>
    </w:p>
    <w:p w:rsidR="00F6506C" w:rsidRPr="00F6506C" w:rsidRDefault="00F6506C" w:rsidP="00234296">
      <w:pPr>
        <w:numPr>
          <w:ilvl w:val="0"/>
          <w:numId w:val="1"/>
        </w:numPr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>отсутствие собственных основных средств, других дорогостоящих активов;</w:t>
      </w:r>
    </w:p>
    <w:p w:rsidR="00F6506C" w:rsidRPr="00F6506C" w:rsidRDefault="00F6506C" w:rsidP="00234296">
      <w:pPr>
        <w:numPr>
          <w:ilvl w:val="0"/>
          <w:numId w:val="1"/>
        </w:numPr>
        <w:spacing w:before="100" w:beforeAutospacing="1" w:after="120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>нет точного определения деятельности организации.</w:t>
      </w:r>
    </w:p>
    <w:p w:rsidR="00F6506C" w:rsidRPr="00F6506C" w:rsidRDefault="00F6506C" w:rsidP="00234296">
      <w:pPr>
        <w:spacing w:before="100" w:before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Но наличие этих признаков не является достаточным основанием для однозначного (безошибочного) вывода об отнесении той или иной организации к «финансовой пирамиде». Для правоохранительных и надзорных органов они являются лишь одним из сигналов для проведения в отношении организации, которая обладает такими признаками, проверочных мероприятий. </w:t>
      </w:r>
    </w:p>
    <w:bookmarkStart w:id="2" w:name="288"/>
    <w:bookmarkEnd w:id="2"/>
    <w:p w:rsidR="00F6506C" w:rsidRPr="00F6506C" w:rsidRDefault="00F6506C" w:rsidP="00234296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"http://www.cbr.ru/IReception/?PrtId=finp" \l "288" </w:instrText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F6506C">
        <w:rPr>
          <w:rFonts w:ascii="Arial" w:eastAsia="Times New Roman" w:hAnsi="Arial" w:cs="Arial"/>
          <w:color w:val="0000FF"/>
          <w:sz w:val="21"/>
          <w:u w:val="single"/>
        </w:rPr>
        <w:t>На что должны обратить внимание граждане, чтобы не попасться на «удочку» мошенников?</w:t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F6506C" w:rsidRPr="00F6506C" w:rsidRDefault="00F6506C" w:rsidP="00234296">
      <w:pPr>
        <w:spacing w:before="100" w:beforeAutospacing="1" w:after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Гражданам следует, прежде всего, обращать внимание на предложения по доходности привлекаемых средств - если она значительно превышает предложения банковских институтов, то существует высокая вероятность потери таких инвестиций. </w:t>
      </w:r>
    </w:p>
    <w:p w:rsidR="00F6506C" w:rsidRPr="00F6506C" w:rsidRDefault="00F6506C" w:rsidP="00234296">
      <w:pPr>
        <w:spacing w:before="100" w:beforeAutospacing="1" w:after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Не менее важный момент - непрозрачность механизмов инвестирования средств такими организациями, а также отсутствие явных признаков экономической деятельности. Например, реклама организации обещает высокие проценты за счет инвестирования в высокодоходные инструменты фондового рынка, однако в ходе мониторинга выясняется, что в действительности организация не торгует на бирже, а выплата обещанных процентов осуществляется только за счет привлечения денег "новых" участников. </w:t>
      </w:r>
    </w:p>
    <w:p w:rsidR="00F6506C" w:rsidRPr="00F6506C" w:rsidRDefault="00F6506C" w:rsidP="00234296">
      <w:pPr>
        <w:spacing w:before="100" w:before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Сбережение и преумножение накоплений через инструменты финансового рынка может быть полностью </w:t>
      </w:r>
      <w:proofErr w:type="spellStart"/>
      <w:r w:rsidRPr="00F6506C">
        <w:rPr>
          <w:rFonts w:ascii="Arial" w:eastAsia="Times New Roman" w:hAnsi="Arial" w:cs="Arial"/>
          <w:color w:val="000000"/>
          <w:sz w:val="21"/>
          <w:szCs w:val="21"/>
        </w:rPr>
        <w:t>безрисковым</w:t>
      </w:r>
      <w:proofErr w:type="spellEnd"/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 в виде банковского вклада. Либо с определенной долей риска, но с возможностью получения более высокого дохода в среднесрочной и долгосрочной перспективе – это инвестирование на фондовом рынке, самостоятельное или через лицензируемых посредников. Все остальные способы получения высоких доходов за короткий промежуток времени на финансовом рынке – от лукавого.</w:t>
      </w:r>
    </w:p>
    <w:bookmarkStart w:id="3" w:name="289"/>
    <w:bookmarkEnd w:id="3"/>
    <w:p w:rsidR="00F6506C" w:rsidRPr="00F6506C" w:rsidRDefault="00F6506C" w:rsidP="00234296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"http://www.cbr.ru/IReception/?PrtId=finp" \l "289" </w:instrText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F6506C">
        <w:rPr>
          <w:rFonts w:ascii="Arial" w:eastAsia="Times New Roman" w:hAnsi="Arial" w:cs="Arial"/>
          <w:color w:val="0000FF"/>
          <w:sz w:val="21"/>
          <w:u w:val="single"/>
        </w:rPr>
        <w:t>Какие меры для пресечения деятельности «финансовых пирамид» принимает Банк России?</w:t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F1128F" w:rsidRDefault="00234296" w:rsidP="00234296">
      <w:pPr>
        <w:jc w:val="both"/>
        <w:rPr>
          <w:rFonts w:ascii="Arial" w:eastAsia="Times New Roman" w:hAnsi="Arial" w:cs="Arial"/>
          <w:vanish/>
          <w:sz w:val="16"/>
          <w:szCs w:val="16"/>
          <w:lang w:val="en-US"/>
        </w:rPr>
      </w:pPr>
    </w:p>
    <w:p w:rsidR="00F6506C" w:rsidRPr="00F6506C" w:rsidRDefault="00F6506C" w:rsidP="00234296">
      <w:pPr>
        <w:spacing w:before="100" w:beforeAutospacing="1" w:after="24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В марте 2014 года в структуре Центрального банка было создано новое подразделение – Главное управление противодействия недобросовестным практикам поведения на открытом рынке. В его задачи, среди прочего, входит выявление деятельности организаций, имеющих </w:t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признаки «финансовых пирамид». Управление анализирует поступающую в Банк России информацию (в том числе содержащуюся в обращениях граждан), взаимодействует с правоохранительными органами, оказывает им консультационную помощь, а также обобщает правоприменительную практику в данной сфере. </w:t>
      </w:r>
    </w:p>
    <w:p w:rsidR="00F6506C" w:rsidRPr="00F6506C" w:rsidRDefault="00F6506C" w:rsidP="00234296">
      <w:pPr>
        <w:spacing w:before="100" w:beforeAutospacing="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В перспективе Банк России ставит перед собой цель создать систему мониторинга и выявления деятельности «финансовых пирамид» на ранних стадиях, что позволит оперативно реагировать на возникающие для населения угрозы. Предполагается, что </w:t>
      </w:r>
      <w:r w:rsidR="00234296" w:rsidRPr="00F6506C">
        <w:rPr>
          <w:rFonts w:ascii="Arial" w:eastAsia="Times New Roman" w:hAnsi="Arial" w:cs="Arial"/>
          <w:color w:val="000000"/>
          <w:sz w:val="21"/>
          <w:szCs w:val="21"/>
        </w:rPr>
        <w:t>управление</w:t>
      </w:r>
      <w:r w:rsidRPr="00F6506C">
        <w:rPr>
          <w:rFonts w:ascii="Arial" w:eastAsia="Times New Roman" w:hAnsi="Arial" w:cs="Arial"/>
          <w:color w:val="000000"/>
          <w:sz w:val="21"/>
          <w:szCs w:val="21"/>
        </w:rPr>
        <w:t xml:space="preserve"> станет центром, координирующим деятельность государственных органов, в том числе правоохранительных, в сфере противодействия деятельности «финансовых пирамид». При этом работа Банка России будет направлена не только на выявление и пресечение уже действующих «финансовых пирамид», но и на профилактику их возникновения.</w:t>
      </w:r>
    </w:p>
    <w:p w:rsidR="00F6506C" w:rsidRPr="00234296" w:rsidRDefault="00F6506C" w:rsidP="00F6506C">
      <w:bookmarkStart w:id="4" w:name="_GoBack"/>
      <w:bookmarkEnd w:id="4"/>
    </w:p>
    <w:sectPr w:rsidR="00F6506C" w:rsidRPr="00234296" w:rsidSect="0024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5FA"/>
    <w:multiLevelType w:val="multilevel"/>
    <w:tmpl w:val="3A2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6C"/>
    <w:rsid w:val="00081241"/>
    <w:rsid w:val="00234296"/>
    <w:rsid w:val="00241949"/>
    <w:rsid w:val="0046496A"/>
    <w:rsid w:val="0048091B"/>
    <w:rsid w:val="0049716C"/>
    <w:rsid w:val="005B640B"/>
    <w:rsid w:val="005F02D0"/>
    <w:rsid w:val="006349D9"/>
    <w:rsid w:val="007F57C3"/>
    <w:rsid w:val="008D44A5"/>
    <w:rsid w:val="00A04481"/>
    <w:rsid w:val="00CD6476"/>
    <w:rsid w:val="00DE422A"/>
    <w:rsid w:val="00E25DED"/>
    <w:rsid w:val="00E91F76"/>
    <w:rsid w:val="00EB55B0"/>
    <w:rsid w:val="00F44127"/>
    <w:rsid w:val="00F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949"/>
  </w:style>
  <w:style w:type="paragraph" w:styleId="1">
    <w:name w:val="heading 1"/>
    <w:basedOn w:val="a"/>
    <w:link w:val="10"/>
    <w:uiPriority w:val="9"/>
    <w:qFormat/>
    <w:rsid w:val="00F6506C"/>
    <w:pPr>
      <w:spacing w:after="120"/>
      <w:ind w:left="-37"/>
      <w:outlineLvl w:val="0"/>
    </w:pPr>
    <w:rPr>
      <w:rFonts w:ascii="Georgia" w:eastAsia="Times New Roman" w:hAnsi="Georgia"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B0"/>
    <w:pPr>
      <w:widowControl w:val="0"/>
      <w:wordWrap w:val="0"/>
      <w:autoSpaceDE w:val="0"/>
      <w:autoSpaceDN w:val="0"/>
      <w:jc w:val="both"/>
    </w:pPr>
    <w:rPr>
      <w:rFonts w:ascii="№Е"/>
      <w:kern w:val="2"/>
      <w:sz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F6506C"/>
    <w:rPr>
      <w:rFonts w:ascii="Georgia" w:eastAsia="Times New Roman" w:hAnsi="Georgia"/>
      <w:kern w:val="36"/>
      <w:sz w:val="60"/>
      <w:szCs w:val="60"/>
    </w:rPr>
  </w:style>
  <w:style w:type="character" w:styleId="a4">
    <w:name w:val="Hyperlink"/>
    <w:basedOn w:val="a0"/>
    <w:uiPriority w:val="99"/>
    <w:semiHidden/>
    <w:unhideWhenUsed/>
    <w:rsid w:val="00F650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506C"/>
    <w:pPr>
      <w:spacing w:before="100" w:beforeAutospacing="1" w:after="240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506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506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506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6506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949"/>
  </w:style>
  <w:style w:type="paragraph" w:styleId="1">
    <w:name w:val="heading 1"/>
    <w:basedOn w:val="a"/>
    <w:link w:val="10"/>
    <w:uiPriority w:val="9"/>
    <w:qFormat/>
    <w:rsid w:val="00F6506C"/>
    <w:pPr>
      <w:spacing w:after="120"/>
      <w:ind w:left="-37"/>
      <w:outlineLvl w:val="0"/>
    </w:pPr>
    <w:rPr>
      <w:rFonts w:ascii="Georgia" w:eastAsia="Times New Roman" w:hAnsi="Georgia"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B0"/>
    <w:pPr>
      <w:widowControl w:val="0"/>
      <w:wordWrap w:val="0"/>
      <w:autoSpaceDE w:val="0"/>
      <w:autoSpaceDN w:val="0"/>
      <w:jc w:val="both"/>
    </w:pPr>
    <w:rPr>
      <w:rFonts w:ascii="№Е"/>
      <w:kern w:val="2"/>
      <w:sz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F6506C"/>
    <w:rPr>
      <w:rFonts w:ascii="Georgia" w:eastAsia="Times New Roman" w:hAnsi="Georgia"/>
      <w:kern w:val="36"/>
      <w:sz w:val="60"/>
      <w:szCs w:val="60"/>
    </w:rPr>
  </w:style>
  <w:style w:type="character" w:styleId="a4">
    <w:name w:val="Hyperlink"/>
    <w:basedOn w:val="a0"/>
    <w:uiPriority w:val="99"/>
    <w:semiHidden/>
    <w:unhideWhenUsed/>
    <w:rsid w:val="00F650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506C"/>
    <w:pPr>
      <w:spacing w:before="100" w:beforeAutospacing="1" w:after="240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506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506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506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6506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963">
                      <w:marLeft w:val="5236"/>
                      <w:marRight w:val="1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2414">
                              <w:marLeft w:val="94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0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1254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1673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5212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340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3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841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8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Байгазина Дания Камильевна</cp:lastModifiedBy>
  <cp:revision>4</cp:revision>
  <dcterms:created xsi:type="dcterms:W3CDTF">2015-04-15T15:21:00Z</dcterms:created>
  <dcterms:modified xsi:type="dcterms:W3CDTF">2015-04-15T15:22:00Z</dcterms:modified>
</cp:coreProperties>
</file>